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2"/>
        </w:rPr>
      </w:pPr>
    </w:p>
    <w:p>
      <w:pPr>
        <w:rPr>
          <w:b/>
          <w:sz w:val="36"/>
          <w:szCs w:val="32"/>
        </w:rPr>
      </w:pPr>
      <w:r>
        <w:rPr>
          <w:rFonts w:hint="eastAsia"/>
          <w:b/>
          <w:sz w:val="36"/>
          <w:szCs w:val="32"/>
        </w:rPr>
        <w:t xml:space="preserve">                       </w:t>
      </w:r>
    </w:p>
    <w:p>
      <w:pPr>
        <w:jc w:val="center"/>
        <w:rPr>
          <w:b/>
          <w:sz w:val="52"/>
          <w:szCs w:val="52"/>
        </w:rPr>
      </w:pPr>
      <w:r>
        <w:rPr>
          <w:rFonts w:hint="eastAsia"/>
          <w:b/>
          <w:sz w:val="52"/>
          <w:szCs w:val="52"/>
        </w:rPr>
        <w:t>合肥百货大楼集团商业大厦有限</w:t>
      </w:r>
    </w:p>
    <w:p>
      <w:pPr>
        <w:jc w:val="center"/>
        <w:rPr>
          <w:rFonts w:hint="eastAsia" w:eastAsia="宋体"/>
          <w:b/>
          <w:sz w:val="36"/>
          <w:szCs w:val="32"/>
          <w:lang w:eastAsia="zh-CN"/>
        </w:rPr>
      </w:pPr>
      <w:r>
        <w:rPr>
          <w:rFonts w:hint="eastAsia"/>
          <w:b/>
          <w:sz w:val="52"/>
          <w:szCs w:val="52"/>
        </w:rPr>
        <w:t>责任公司弱电系统升级改造</w:t>
      </w:r>
      <w:r>
        <w:rPr>
          <w:rFonts w:hint="eastAsia"/>
          <w:b/>
          <w:sz w:val="52"/>
          <w:szCs w:val="52"/>
          <w:lang w:eastAsia="zh-CN"/>
        </w:rPr>
        <w:t>工程</w:t>
      </w:r>
    </w:p>
    <w:p>
      <w:pPr>
        <w:jc w:val="center"/>
      </w:pPr>
    </w:p>
    <w:p>
      <w:pPr>
        <w:jc w:val="center"/>
      </w:pPr>
    </w:p>
    <w:p>
      <w:pPr>
        <w:jc w:val="center"/>
      </w:pPr>
    </w:p>
    <w:p>
      <w:pPr>
        <w:jc w:val="center"/>
      </w:pPr>
    </w:p>
    <w:p>
      <w:pPr>
        <w:jc w:val="center"/>
        <w:rPr>
          <w:rFonts w:ascii="黑体" w:eastAsia="黑体"/>
          <w:b/>
          <w:sz w:val="52"/>
          <w:szCs w:val="52"/>
        </w:rPr>
      </w:pPr>
      <w:r>
        <w:rPr>
          <w:rFonts w:hint="eastAsia" w:ascii="黑体" w:eastAsia="黑体"/>
          <w:b/>
          <w:sz w:val="52"/>
          <w:szCs w:val="52"/>
        </w:rPr>
        <w:t>招</w:t>
      </w:r>
      <w:r>
        <w:rPr>
          <w:rFonts w:ascii="黑体" w:eastAsia="黑体"/>
          <w:b/>
          <w:sz w:val="52"/>
          <w:szCs w:val="52"/>
        </w:rPr>
        <w:t xml:space="preserve"> </w:t>
      </w:r>
      <w:r>
        <w:rPr>
          <w:rFonts w:hint="eastAsia" w:ascii="黑体" w:eastAsia="黑体"/>
          <w:b/>
          <w:sz w:val="52"/>
          <w:szCs w:val="52"/>
        </w:rPr>
        <w:t>标</w:t>
      </w:r>
      <w:r>
        <w:rPr>
          <w:rFonts w:ascii="黑体" w:eastAsia="黑体"/>
          <w:b/>
          <w:sz w:val="52"/>
          <w:szCs w:val="52"/>
        </w:rPr>
        <w:t xml:space="preserve"> </w:t>
      </w:r>
      <w:r>
        <w:rPr>
          <w:rFonts w:hint="eastAsia" w:ascii="黑体" w:eastAsia="黑体"/>
          <w:b/>
          <w:sz w:val="52"/>
          <w:szCs w:val="52"/>
        </w:rPr>
        <w:t>文</w:t>
      </w:r>
      <w:r>
        <w:rPr>
          <w:rFonts w:ascii="黑体" w:eastAsia="黑体"/>
          <w:b/>
          <w:sz w:val="52"/>
          <w:szCs w:val="52"/>
        </w:rPr>
        <w:t xml:space="preserve"> </w:t>
      </w:r>
      <w:r>
        <w:rPr>
          <w:rFonts w:hint="eastAsia" w:ascii="黑体" w:eastAsia="黑体"/>
          <w:b/>
          <w:sz w:val="52"/>
          <w:szCs w:val="52"/>
        </w:rPr>
        <w:t>件</w:t>
      </w:r>
    </w:p>
    <w:p/>
    <w:p/>
    <w:p/>
    <w:p/>
    <w:p>
      <w:r>
        <w:t>  </w:t>
      </w:r>
    </w:p>
    <w:p/>
    <w:p/>
    <w:p/>
    <w:p/>
    <w:p/>
    <w:p/>
    <w:p/>
    <w:p/>
    <w:p/>
    <w:p/>
    <w:p/>
    <w:p/>
    <w:p/>
    <w:p>
      <w:pPr>
        <w:tabs>
          <w:tab w:val="left" w:pos="2410"/>
        </w:tabs>
        <w:autoSpaceDE w:val="0"/>
        <w:autoSpaceDN w:val="0"/>
        <w:adjustRightInd w:val="0"/>
        <w:snapToGrid w:val="0"/>
        <w:spacing w:line="360" w:lineRule="auto"/>
        <w:rPr>
          <w:rFonts w:hint="eastAsia" w:ascii="宋体" w:hAnsi="DotumChe" w:eastAsia="宋体" w:cs="宋体"/>
          <w:b/>
          <w:spacing w:val="20"/>
          <w:kern w:val="0"/>
          <w:sz w:val="32"/>
          <w:szCs w:val="32"/>
          <w:lang w:eastAsia="zh-CN"/>
        </w:rPr>
      </w:pPr>
      <w:r>
        <w:rPr>
          <w:rFonts w:hint="eastAsia" w:ascii="宋体" w:hAnsi="DotumChe" w:cs="宋体"/>
          <w:b/>
          <w:spacing w:val="20"/>
          <w:kern w:val="0"/>
          <w:sz w:val="32"/>
          <w:szCs w:val="32"/>
        </w:rPr>
        <w:t>项目编号:HBZ-200</w:t>
      </w:r>
      <w:r>
        <w:rPr>
          <w:rFonts w:hint="eastAsia" w:ascii="宋体" w:hAnsi="DotumChe" w:cs="宋体"/>
          <w:b/>
          <w:spacing w:val="20"/>
          <w:kern w:val="0"/>
          <w:sz w:val="32"/>
          <w:szCs w:val="32"/>
          <w:lang w:val="en-US" w:eastAsia="zh-CN"/>
        </w:rPr>
        <w:t>25</w:t>
      </w:r>
      <w:r>
        <w:rPr>
          <w:rFonts w:hint="eastAsia" w:ascii="宋体" w:hAnsi="DotumChe" w:cs="宋体"/>
          <w:b/>
          <w:spacing w:val="20"/>
          <w:kern w:val="0"/>
          <w:sz w:val="32"/>
          <w:szCs w:val="32"/>
        </w:rPr>
        <w:t>-SYDS0</w:t>
      </w:r>
      <w:r>
        <w:rPr>
          <w:rFonts w:hint="eastAsia" w:ascii="宋体" w:hAnsi="DotumChe" w:cs="宋体"/>
          <w:b/>
          <w:spacing w:val="20"/>
          <w:kern w:val="0"/>
          <w:sz w:val="32"/>
          <w:szCs w:val="32"/>
          <w:lang w:val="en-US" w:eastAsia="zh-CN"/>
        </w:rPr>
        <w:t>3</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 标 人：合肥百货大楼集团商业大厦有限责任公司</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招标时间：二〇二〇年</w:t>
      </w:r>
      <w:r>
        <w:rPr>
          <w:rFonts w:hint="eastAsia" w:ascii="宋体" w:hAnsi="DotumChe" w:cs="宋体"/>
          <w:b/>
          <w:spacing w:val="20"/>
          <w:kern w:val="0"/>
          <w:sz w:val="32"/>
          <w:szCs w:val="32"/>
          <w:lang w:eastAsia="zh-CN"/>
        </w:rPr>
        <w:t>四</w:t>
      </w:r>
      <w:r>
        <w:rPr>
          <w:rFonts w:hint="eastAsia" w:ascii="宋体" w:hAnsi="DotumChe" w:cs="宋体"/>
          <w:b/>
          <w:spacing w:val="20"/>
          <w:kern w:val="0"/>
          <w:sz w:val="32"/>
          <w:szCs w:val="32"/>
        </w:rPr>
        <w:t>月</w:t>
      </w:r>
    </w:p>
    <w:p>
      <w:pPr>
        <w:jc w:val="left"/>
        <w:rPr>
          <w:sz w:val="28"/>
          <w:szCs w:val="28"/>
        </w:rPr>
      </w:pPr>
    </w:p>
    <w:p>
      <w:pPr>
        <w:pStyle w:val="48"/>
        <w:spacing w:line="480" w:lineRule="auto"/>
        <w:rPr>
          <w:sz w:val="32"/>
          <w:szCs w:val="32"/>
        </w:rPr>
      </w:pPr>
      <w:r>
        <w:rPr>
          <w:sz w:val="32"/>
          <w:szCs w:val="32"/>
          <w:lang w:val="zh-CN"/>
        </w:rPr>
        <w:t>目</w:t>
      </w:r>
      <w:r>
        <w:rPr>
          <w:rFonts w:hint="eastAsia"/>
          <w:sz w:val="32"/>
          <w:szCs w:val="32"/>
        </w:rPr>
        <w:t xml:space="preserve">  </w:t>
      </w:r>
      <w:r>
        <w:rPr>
          <w:sz w:val="32"/>
          <w:szCs w:val="32"/>
          <w:lang w:val="zh-CN"/>
        </w:rPr>
        <w:t>录</w:t>
      </w:r>
    </w:p>
    <w:p>
      <w:pPr>
        <w:pStyle w:val="18"/>
        <w:tabs>
          <w:tab w:val="right" w:leader="dot" w:pos="8296"/>
        </w:tabs>
        <w:rPr>
          <w:rFonts w:asciiTheme="minorHAnsi" w:hAnsiTheme="minorHAnsi" w:eastAsiaTheme="minorEastAsia" w:cstheme="minorBidi"/>
          <w:kern w:val="2"/>
          <w:sz w:val="21"/>
        </w:rPr>
      </w:pPr>
      <w:r>
        <w:rPr>
          <w:sz w:val="32"/>
          <w:szCs w:val="32"/>
        </w:rPr>
        <w:fldChar w:fldCharType="begin"/>
      </w:r>
      <w:r>
        <w:rPr>
          <w:sz w:val="32"/>
          <w:szCs w:val="32"/>
        </w:rPr>
        <w:instrText xml:space="preserve"> TOC \o "1-3" \h \z \u </w:instrText>
      </w:r>
      <w:r>
        <w:rPr>
          <w:sz w:val="32"/>
          <w:szCs w:val="32"/>
        </w:rPr>
        <w:fldChar w:fldCharType="separate"/>
      </w:r>
      <w:r>
        <w:fldChar w:fldCharType="begin"/>
      </w:r>
      <w:r>
        <w:instrText xml:space="preserve"> HYPERLINK \l "_Toc29394975" </w:instrText>
      </w:r>
      <w:r>
        <w:fldChar w:fldCharType="separate"/>
      </w:r>
      <w:r>
        <w:rPr>
          <w:rStyle w:val="28"/>
        </w:rPr>
        <w:t>第一章 投标邀请（招标公告）</w:t>
      </w:r>
      <w:r>
        <w:tab/>
      </w:r>
      <w:r>
        <w:fldChar w:fldCharType="begin"/>
      </w:r>
      <w:r>
        <w:instrText xml:space="preserve"> PAGEREF _Toc29394975 \h </w:instrText>
      </w:r>
      <w:r>
        <w:fldChar w:fldCharType="separate"/>
      </w:r>
      <w:r>
        <w:t>3</w:t>
      </w:r>
      <w:r>
        <w:fldChar w:fldCharType="end"/>
      </w:r>
      <w:r>
        <w:fldChar w:fldCharType="end"/>
      </w:r>
    </w:p>
    <w:p>
      <w:pPr>
        <w:pStyle w:val="18"/>
        <w:tabs>
          <w:tab w:val="right" w:leader="dot" w:pos="8296"/>
        </w:tabs>
        <w:rPr>
          <w:rFonts w:asciiTheme="minorHAnsi" w:hAnsiTheme="minorHAnsi" w:eastAsiaTheme="minorEastAsia" w:cstheme="minorBidi"/>
          <w:kern w:val="2"/>
          <w:sz w:val="21"/>
        </w:rPr>
      </w:pPr>
      <w:r>
        <w:fldChar w:fldCharType="begin"/>
      </w:r>
      <w:r>
        <w:instrText xml:space="preserve"> HYPERLINK \l "_Toc29394976" </w:instrText>
      </w:r>
      <w:r>
        <w:fldChar w:fldCharType="separate"/>
      </w:r>
      <w:r>
        <w:rPr>
          <w:rStyle w:val="28"/>
        </w:rPr>
        <w:t>第二章 投标人须知前附表</w:t>
      </w:r>
      <w:r>
        <w:tab/>
      </w:r>
      <w:r>
        <w:fldChar w:fldCharType="begin"/>
      </w:r>
      <w:r>
        <w:instrText xml:space="preserve"> PAGEREF _Toc29394976 \h </w:instrText>
      </w:r>
      <w:r>
        <w:fldChar w:fldCharType="separate"/>
      </w:r>
      <w:r>
        <w:t>5</w:t>
      </w:r>
      <w:r>
        <w:fldChar w:fldCharType="end"/>
      </w:r>
      <w:r>
        <w:fldChar w:fldCharType="end"/>
      </w:r>
    </w:p>
    <w:p>
      <w:pPr>
        <w:pStyle w:val="18"/>
        <w:tabs>
          <w:tab w:val="right" w:leader="dot" w:pos="8296"/>
        </w:tabs>
        <w:rPr>
          <w:rFonts w:asciiTheme="minorHAnsi" w:hAnsiTheme="minorHAnsi" w:eastAsiaTheme="minorEastAsia" w:cstheme="minorBidi"/>
          <w:kern w:val="2"/>
          <w:sz w:val="21"/>
        </w:rPr>
      </w:pPr>
      <w:r>
        <w:fldChar w:fldCharType="begin"/>
      </w:r>
      <w:r>
        <w:instrText xml:space="preserve"> HYPERLINK \l "_Toc29394977" </w:instrText>
      </w:r>
      <w:r>
        <w:fldChar w:fldCharType="separate"/>
      </w:r>
      <w:r>
        <w:rPr>
          <w:rStyle w:val="28"/>
        </w:rPr>
        <w:t>第三章 投标人须知</w:t>
      </w:r>
      <w:r>
        <w:tab/>
      </w:r>
      <w:r>
        <w:fldChar w:fldCharType="begin"/>
      </w:r>
      <w:r>
        <w:instrText xml:space="preserve"> PAGEREF _Toc29394977 \h </w:instrText>
      </w:r>
      <w:r>
        <w:fldChar w:fldCharType="separate"/>
      </w:r>
      <w:r>
        <w:t>8</w:t>
      </w:r>
      <w:r>
        <w:fldChar w:fldCharType="end"/>
      </w:r>
      <w:r>
        <w:fldChar w:fldCharType="end"/>
      </w:r>
    </w:p>
    <w:p>
      <w:pPr>
        <w:pStyle w:val="18"/>
        <w:tabs>
          <w:tab w:val="right" w:leader="dot" w:pos="8296"/>
        </w:tabs>
        <w:rPr>
          <w:rFonts w:asciiTheme="minorHAnsi" w:hAnsiTheme="minorHAnsi" w:eastAsiaTheme="minorEastAsia" w:cstheme="minorBidi"/>
          <w:kern w:val="2"/>
          <w:sz w:val="21"/>
        </w:rPr>
      </w:pPr>
      <w:r>
        <w:fldChar w:fldCharType="begin"/>
      </w:r>
      <w:r>
        <w:instrText xml:space="preserve"> HYPERLINK \l "_Toc29394978" </w:instrText>
      </w:r>
      <w:r>
        <w:fldChar w:fldCharType="separate"/>
      </w:r>
      <w:r>
        <w:rPr>
          <w:rStyle w:val="28"/>
        </w:rPr>
        <w:t>第四章 招标需求</w:t>
      </w:r>
      <w:r>
        <w:tab/>
      </w:r>
      <w:r>
        <w:fldChar w:fldCharType="begin"/>
      </w:r>
      <w:r>
        <w:instrText xml:space="preserve"> PAGEREF _Toc29394978 \h </w:instrText>
      </w:r>
      <w:r>
        <w:fldChar w:fldCharType="separate"/>
      </w:r>
      <w:r>
        <w:t>12</w:t>
      </w:r>
      <w:r>
        <w:fldChar w:fldCharType="end"/>
      </w:r>
      <w:r>
        <w:fldChar w:fldCharType="end"/>
      </w:r>
    </w:p>
    <w:p>
      <w:pPr>
        <w:pStyle w:val="11"/>
        <w:tabs>
          <w:tab w:val="right" w:leader="dot" w:pos="8296"/>
        </w:tabs>
        <w:rPr>
          <w:rFonts w:asciiTheme="minorHAnsi" w:hAnsiTheme="minorHAnsi" w:eastAsiaTheme="minorEastAsia" w:cstheme="minorBidi"/>
          <w:kern w:val="2"/>
          <w:sz w:val="21"/>
        </w:rPr>
      </w:pPr>
      <w:r>
        <w:fldChar w:fldCharType="begin"/>
      </w:r>
      <w:r>
        <w:instrText xml:space="preserve"> HYPERLINK \l "_Toc29394979" </w:instrText>
      </w:r>
      <w:r>
        <w:fldChar w:fldCharType="separate"/>
      </w:r>
      <w:r>
        <w:rPr>
          <w:rStyle w:val="28"/>
          <w:rFonts w:hAnsi="宋体"/>
        </w:rPr>
        <w:t>一、项目概述</w:t>
      </w:r>
      <w:r>
        <w:tab/>
      </w:r>
      <w:r>
        <w:fldChar w:fldCharType="begin"/>
      </w:r>
      <w:r>
        <w:instrText xml:space="preserve"> PAGEREF _Toc29394979 \h </w:instrText>
      </w:r>
      <w:r>
        <w:fldChar w:fldCharType="separate"/>
      </w:r>
      <w:r>
        <w:t>13</w:t>
      </w:r>
      <w:r>
        <w:fldChar w:fldCharType="end"/>
      </w:r>
      <w:r>
        <w:fldChar w:fldCharType="end"/>
      </w:r>
    </w:p>
    <w:p>
      <w:pPr>
        <w:pStyle w:val="11"/>
        <w:tabs>
          <w:tab w:val="right" w:leader="dot" w:pos="8296"/>
        </w:tabs>
        <w:rPr>
          <w:rFonts w:asciiTheme="minorHAnsi" w:hAnsiTheme="minorHAnsi" w:eastAsiaTheme="minorEastAsia" w:cstheme="minorBidi"/>
          <w:kern w:val="2"/>
          <w:sz w:val="21"/>
        </w:rPr>
      </w:pPr>
      <w:r>
        <w:fldChar w:fldCharType="begin"/>
      </w:r>
      <w:r>
        <w:instrText xml:space="preserve"> HYPERLINK \l "_Toc29394980" </w:instrText>
      </w:r>
      <w:r>
        <w:fldChar w:fldCharType="separate"/>
      </w:r>
      <w:r>
        <w:rPr>
          <w:rStyle w:val="28"/>
          <w:rFonts w:hAnsi="宋体"/>
        </w:rPr>
        <w:t>二、综合布线系统</w:t>
      </w:r>
      <w:r>
        <w:tab/>
      </w:r>
      <w:r>
        <w:fldChar w:fldCharType="begin"/>
      </w:r>
      <w:r>
        <w:instrText xml:space="preserve"> PAGEREF _Toc29394980 \h </w:instrText>
      </w:r>
      <w:r>
        <w:fldChar w:fldCharType="separate"/>
      </w:r>
      <w:r>
        <w:t>13</w:t>
      </w:r>
      <w:r>
        <w:fldChar w:fldCharType="end"/>
      </w:r>
      <w:r>
        <w:fldChar w:fldCharType="end"/>
      </w:r>
    </w:p>
    <w:p>
      <w:pPr>
        <w:pStyle w:val="11"/>
        <w:tabs>
          <w:tab w:val="right" w:leader="dot" w:pos="8296"/>
        </w:tabs>
        <w:rPr>
          <w:rFonts w:asciiTheme="minorHAnsi" w:hAnsiTheme="minorHAnsi" w:eastAsiaTheme="minorEastAsia" w:cstheme="minorBidi"/>
          <w:kern w:val="2"/>
          <w:sz w:val="21"/>
        </w:rPr>
      </w:pPr>
      <w:r>
        <w:fldChar w:fldCharType="begin"/>
      </w:r>
      <w:r>
        <w:instrText xml:space="preserve"> HYPERLINK \l "_Toc29394981" </w:instrText>
      </w:r>
      <w:r>
        <w:fldChar w:fldCharType="separate"/>
      </w:r>
      <w:r>
        <w:rPr>
          <w:rStyle w:val="28"/>
          <w:rFonts w:hAnsi="宋体"/>
        </w:rPr>
        <w:t>三、语音系统（三网）</w:t>
      </w:r>
      <w:r>
        <w:tab/>
      </w:r>
      <w:r>
        <w:fldChar w:fldCharType="begin"/>
      </w:r>
      <w:r>
        <w:instrText xml:space="preserve"> PAGEREF _Toc29394981 \h </w:instrText>
      </w:r>
      <w:r>
        <w:fldChar w:fldCharType="separate"/>
      </w:r>
      <w:r>
        <w:t>19</w:t>
      </w:r>
      <w:r>
        <w:fldChar w:fldCharType="end"/>
      </w:r>
      <w:r>
        <w:fldChar w:fldCharType="end"/>
      </w:r>
    </w:p>
    <w:p>
      <w:pPr>
        <w:pStyle w:val="11"/>
        <w:tabs>
          <w:tab w:val="right" w:leader="dot" w:pos="8296"/>
        </w:tabs>
        <w:rPr>
          <w:rFonts w:asciiTheme="minorHAnsi" w:hAnsiTheme="minorHAnsi" w:eastAsiaTheme="minorEastAsia" w:cstheme="minorBidi"/>
          <w:kern w:val="2"/>
          <w:sz w:val="21"/>
        </w:rPr>
      </w:pPr>
      <w:r>
        <w:fldChar w:fldCharType="begin"/>
      </w:r>
      <w:r>
        <w:instrText xml:space="preserve"> HYPERLINK \l "_Toc29394982" </w:instrText>
      </w:r>
      <w:r>
        <w:fldChar w:fldCharType="separate"/>
      </w:r>
      <w:r>
        <w:rPr>
          <w:rStyle w:val="28"/>
          <w:rFonts w:hAnsi="宋体"/>
        </w:rPr>
        <w:t>四、计算机网络系统</w:t>
      </w:r>
      <w:r>
        <w:tab/>
      </w:r>
      <w:r>
        <w:fldChar w:fldCharType="begin"/>
      </w:r>
      <w:r>
        <w:instrText xml:space="preserve"> PAGEREF _Toc29394982 \h </w:instrText>
      </w:r>
      <w:r>
        <w:fldChar w:fldCharType="separate"/>
      </w:r>
      <w:r>
        <w:t>20</w:t>
      </w:r>
      <w:r>
        <w:fldChar w:fldCharType="end"/>
      </w:r>
      <w:r>
        <w:fldChar w:fldCharType="end"/>
      </w:r>
    </w:p>
    <w:p>
      <w:pPr>
        <w:pStyle w:val="11"/>
        <w:tabs>
          <w:tab w:val="right" w:leader="dot" w:pos="8296"/>
        </w:tabs>
        <w:rPr>
          <w:rFonts w:asciiTheme="minorHAnsi" w:hAnsiTheme="minorHAnsi" w:eastAsiaTheme="minorEastAsia" w:cstheme="minorBidi"/>
          <w:kern w:val="2"/>
          <w:sz w:val="21"/>
        </w:rPr>
      </w:pPr>
      <w:r>
        <w:fldChar w:fldCharType="begin"/>
      </w:r>
      <w:r>
        <w:instrText xml:space="preserve"> HYPERLINK \l "_Toc29394983" </w:instrText>
      </w:r>
      <w:r>
        <w:fldChar w:fldCharType="separate"/>
      </w:r>
      <w:r>
        <w:rPr>
          <w:rStyle w:val="28"/>
          <w:rFonts w:hAnsi="宋体"/>
        </w:rPr>
        <w:t>五、机房工程系统</w:t>
      </w:r>
      <w:r>
        <w:tab/>
      </w:r>
      <w:r>
        <w:fldChar w:fldCharType="begin"/>
      </w:r>
      <w:r>
        <w:instrText xml:space="preserve"> PAGEREF _Toc29394983 \h </w:instrText>
      </w:r>
      <w:r>
        <w:fldChar w:fldCharType="separate"/>
      </w:r>
      <w:r>
        <w:t>26</w:t>
      </w:r>
      <w:r>
        <w:fldChar w:fldCharType="end"/>
      </w:r>
      <w:r>
        <w:fldChar w:fldCharType="end"/>
      </w:r>
    </w:p>
    <w:p>
      <w:pPr>
        <w:pStyle w:val="11"/>
        <w:tabs>
          <w:tab w:val="right" w:leader="dot" w:pos="8296"/>
        </w:tabs>
        <w:rPr>
          <w:rFonts w:asciiTheme="minorHAnsi" w:hAnsiTheme="minorHAnsi" w:eastAsiaTheme="minorEastAsia" w:cstheme="minorBidi"/>
          <w:kern w:val="2"/>
          <w:sz w:val="21"/>
        </w:rPr>
      </w:pPr>
      <w:r>
        <w:fldChar w:fldCharType="begin"/>
      </w:r>
      <w:r>
        <w:instrText xml:space="preserve"> HYPERLINK \l "_Toc29394984" </w:instrText>
      </w:r>
      <w:r>
        <w:fldChar w:fldCharType="separate"/>
      </w:r>
      <w:r>
        <w:rPr>
          <w:rStyle w:val="28"/>
          <w:rFonts w:hAnsi="宋体"/>
        </w:rPr>
        <w:t>六、安防系统</w:t>
      </w:r>
      <w:r>
        <w:tab/>
      </w:r>
      <w:r>
        <w:fldChar w:fldCharType="begin"/>
      </w:r>
      <w:r>
        <w:instrText xml:space="preserve"> PAGEREF _Toc29394984 \h </w:instrText>
      </w:r>
      <w:r>
        <w:fldChar w:fldCharType="separate"/>
      </w:r>
      <w:r>
        <w:t>29</w:t>
      </w:r>
      <w:r>
        <w:fldChar w:fldCharType="end"/>
      </w:r>
      <w:r>
        <w:fldChar w:fldCharType="end"/>
      </w:r>
    </w:p>
    <w:p>
      <w:pPr>
        <w:pStyle w:val="11"/>
        <w:tabs>
          <w:tab w:val="right" w:leader="dot" w:pos="8296"/>
        </w:tabs>
        <w:rPr>
          <w:rFonts w:asciiTheme="minorHAnsi" w:hAnsiTheme="minorHAnsi" w:eastAsiaTheme="minorEastAsia" w:cstheme="minorBidi"/>
          <w:kern w:val="2"/>
          <w:sz w:val="21"/>
        </w:rPr>
      </w:pPr>
      <w:r>
        <w:fldChar w:fldCharType="begin"/>
      </w:r>
      <w:r>
        <w:instrText xml:space="preserve"> HYPERLINK \l "_Toc29394985" </w:instrText>
      </w:r>
      <w:r>
        <w:fldChar w:fldCharType="separate"/>
      </w:r>
      <w:r>
        <w:rPr>
          <w:rStyle w:val="28"/>
          <w:rFonts w:hAnsi="宋体"/>
        </w:rPr>
        <w:t>七、广播系统</w:t>
      </w:r>
      <w:r>
        <w:tab/>
      </w:r>
      <w:r>
        <w:fldChar w:fldCharType="begin"/>
      </w:r>
      <w:r>
        <w:instrText xml:space="preserve"> PAGEREF _Toc29394985 \h </w:instrText>
      </w:r>
      <w:r>
        <w:fldChar w:fldCharType="separate"/>
      </w:r>
      <w:r>
        <w:t>41</w:t>
      </w:r>
      <w:r>
        <w:fldChar w:fldCharType="end"/>
      </w:r>
      <w:r>
        <w:fldChar w:fldCharType="end"/>
      </w:r>
    </w:p>
    <w:p>
      <w:pPr>
        <w:pStyle w:val="11"/>
        <w:tabs>
          <w:tab w:val="right" w:leader="dot" w:pos="8296"/>
        </w:tabs>
        <w:rPr>
          <w:rFonts w:asciiTheme="minorHAnsi" w:hAnsiTheme="minorHAnsi" w:eastAsiaTheme="minorEastAsia" w:cstheme="minorBidi"/>
          <w:kern w:val="2"/>
          <w:sz w:val="21"/>
        </w:rPr>
      </w:pPr>
      <w:r>
        <w:fldChar w:fldCharType="begin"/>
      </w:r>
      <w:r>
        <w:instrText xml:space="preserve"> HYPERLINK \l "_Toc29394986" </w:instrText>
      </w:r>
      <w:r>
        <w:fldChar w:fldCharType="separate"/>
      </w:r>
      <w:r>
        <w:rPr>
          <w:rStyle w:val="28"/>
          <w:rFonts w:hAnsi="宋体"/>
        </w:rPr>
        <w:t>八、推荐品牌</w:t>
      </w:r>
      <w:r>
        <w:tab/>
      </w:r>
      <w:r>
        <w:fldChar w:fldCharType="begin"/>
      </w:r>
      <w:r>
        <w:instrText xml:space="preserve"> PAGEREF _Toc29394986 \h </w:instrText>
      </w:r>
      <w:r>
        <w:fldChar w:fldCharType="separate"/>
      </w:r>
      <w:r>
        <w:t>45</w:t>
      </w:r>
      <w:r>
        <w:fldChar w:fldCharType="end"/>
      </w:r>
      <w:r>
        <w:fldChar w:fldCharType="end"/>
      </w:r>
    </w:p>
    <w:p>
      <w:pPr>
        <w:pStyle w:val="18"/>
        <w:tabs>
          <w:tab w:val="right" w:leader="dot" w:pos="8296"/>
        </w:tabs>
        <w:rPr>
          <w:rFonts w:asciiTheme="minorHAnsi" w:hAnsiTheme="minorHAnsi" w:eastAsiaTheme="minorEastAsia" w:cstheme="minorBidi"/>
          <w:kern w:val="2"/>
          <w:sz w:val="21"/>
        </w:rPr>
      </w:pPr>
      <w:r>
        <w:fldChar w:fldCharType="begin"/>
      </w:r>
      <w:r>
        <w:instrText xml:space="preserve"> HYPERLINK \l "_Toc29394987" </w:instrText>
      </w:r>
      <w:r>
        <w:fldChar w:fldCharType="separate"/>
      </w:r>
      <w:r>
        <w:rPr>
          <w:rStyle w:val="28"/>
        </w:rPr>
        <w:t>第五章 合同</w:t>
      </w:r>
      <w:r>
        <w:tab/>
      </w:r>
      <w:r>
        <w:fldChar w:fldCharType="begin"/>
      </w:r>
      <w:r>
        <w:instrText xml:space="preserve"> PAGEREF _Toc29394987 \h </w:instrText>
      </w:r>
      <w:r>
        <w:fldChar w:fldCharType="separate"/>
      </w:r>
      <w:r>
        <w:t>47</w:t>
      </w:r>
      <w:r>
        <w:fldChar w:fldCharType="end"/>
      </w:r>
      <w:r>
        <w:fldChar w:fldCharType="end"/>
      </w:r>
    </w:p>
    <w:p>
      <w:pPr>
        <w:pStyle w:val="18"/>
        <w:tabs>
          <w:tab w:val="right" w:leader="dot" w:pos="8296"/>
        </w:tabs>
        <w:rPr>
          <w:rFonts w:asciiTheme="minorHAnsi" w:hAnsiTheme="minorHAnsi" w:eastAsiaTheme="minorEastAsia" w:cstheme="minorBidi"/>
          <w:kern w:val="2"/>
          <w:sz w:val="21"/>
        </w:rPr>
      </w:pPr>
      <w:r>
        <w:fldChar w:fldCharType="begin"/>
      </w:r>
      <w:r>
        <w:instrText xml:space="preserve"> HYPERLINK \l "_Toc29394988" </w:instrText>
      </w:r>
      <w:r>
        <w:fldChar w:fldCharType="separate"/>
      </w:r>
      <w:r>
        <w:rPr>
          <w:rStyle w:val="28"/>
        </w:rPr>
        <w:t>第六章 评标办法</w:t>
      </w:r>
      <w:r>
        <w:tab/>
      </w:r>
      <w:r>
        <w:fldChar w:fldCharType="begin"/>
      </w:r>
      <w:r>
        <w:instrText xml:space="preserve"> PAGEREF _Toc29394988 \h </w:instrText>
      </w:r>
      <w:r>
        <w:fldChar w:fldCharType="separate"/>
      </w:r>
      <w:r>
        <w:t>56</w:t>
      </w:r>
      <w:r>
        <w:fldChar w:fldCharType="end"/>
      </w:r>
      <w:r>
        <w:fldChar w:fldCharType="end"/>
      </w:r>
    </w:p>
    <w:p>
      <w:pPr>
        <w:pStyle w:val="18"/>
        <w:tabs>
          <w:tab w:val="right" w:leader="dot" w:pos="8296"/>
        </w:tabs>
        <w:rPr>
          <w:rFonts w:asciiTheme="minorHAnsi" w:hAnsiTheme="minorHAnsi" w:eastAsiaTheme="minorEastAsia" w:cstheme="minorBidi"/>
          <w:kern w:val="2"/>
          <w:sz w:val="21"/>
        </w:rPr>
      </w:pPr>
      <w:r>
        <w:fldChar w:fldCharType="begin"/>
      </w:r>
      <w:r>
        <w:instrText xml:space="preserve"> HYPERLINK \l "_Toc29394989" </w:instrText>
      </w:r>
      <w:r>
        <w:fldChar w:fldCharType="separate"/>
      </w:r>
      <w:r>
        <w:rPr>
          <w:rStyle w:val="28"/>
        </w:rPr>
        <w:t>第七章 投标文件格式</w:t>
      </w:r>
      <w:r>
        <w:tab/>
      </w:r>
      <w:r>
        <w:fldChar w:fldCharType="begin"/>
      </w:r>
      <w:r>
        <w:instrText xml:space="preserve"> PAGEREF _Toc29394989 \h </w:instrText>
      </w:r>
      <w:r>
        <w:fldChar w:fldCharType="separate"/>
      </w:r>
      <w:r>
        <w:t>60</w:t>
      </w:r>
      <w:r>
        <w:fldChar w:fldCharType="end"/>
      </w:r>
      <w:r>
        <w:fldChar w:fldCharType="end"/>
      </w:r>
    </w:p>
    <w:p>
      <w:pPr>
        <w:spacing w:line="480" w:lineRule="auto"/>
      </w:pPr>
      <w:r>
        <w:rPr>
          <w:sz w:val="32"/>
          <w:szCs w:val="32"/>
        </w:rPr>
        <w:fldChar w:fldCharType="end"/>
      </w: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pStyle w:val="2"/>
        <w:numPr>
          <w:ilvl w:val="0"/>
          <w:numId w:val="0"/>
        </w:numPr>
        <w:spacing w:after="312" w:afterLines="100"/>
      </w:pPr>
      <w:bookmarkStart w:id="0" w:name="_Toc29394975"/>
      <w:r>
        <w:rPr>
          <w:rFonts w:hint="eastAsia"/>
        </w:rPr>
        <w:t>第一章 投标邀请（招标公告）</w:t>
      </w:r>
      <w:bookmarkEnd w:id="0"/>
    </w:p>
    <w:p>
      <w:pPr>
        <w:keepNext w:val="0"/>
        <w:keepLines w:val="0"/>
        <w:pageBreakBefore w:val="0"/>
        <w:kinsoku/>
        <w:wordWrap/>
        <w:overflowPunct/>
        <w:topLinePunct w:val="0"/>
        <w:bidi w:val="0"/>
        <w:snapToGrid/>
        <w:spacing w:line="440" w:lineRule="exact"/>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我公司现对商业大厦弱电系统升级改造工程招标，欢迎合格的投标人前来投标，相关事项如下：</w:t>
      </w:r>
    </w:p>
    <w:p>
      <w:pPr>
        <w:keepNext w:val="0"/>
        <w:keepLines w:val="0"/>
        <w:pageBreakBefore w:val="0"/>
        <w:widowControl/>
        <w:kinsoku/>
        <w:wordWrap/>
        <w:overflowPunct/>
        <w:topLinePunct w:val="0"/>
        <w:bidi w:val="0"/>
        <w:snapToGrid/>
        <w:spacing w:line="440" w:lineRule="exact"/>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一、标的简介：</w:t>
      </w:r>
    </w:p>
    <w:p>
      <w:pPr>
        <w:keepNext w:val="0"/>
        <w:keepLines w:val="0"/>
        <w:pageBreakBefore w:val="0"/>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1.项目编号：HBZ-200</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-SYDS0</w:t>
      </w:r>
      <w:r>
        <w:rPr>
          <w:rFonts w:hint="eastAsia" w:asciiTheme="minorEastAsia" w:hAnsiTheme="minorEastAsia" w:eastAsiaTheme="minorEastAsia" w:cstheme="minorEastAsia"/>
          <w:sz w:val="24"/>
          <w:szCs w:val="24"/>
          <w:lang w:val="en-US" w:eastAsia="zh-CN"/>
        </w:rPr>
        <w:t>3</w:t>
      </w:r>
    </w:p>
    <w:p>
      <w:pPr>
        <w:keepNext w:val="0"/>
        <w:keepLines w:val="0"/>
        <w:pageBreakBefore w:val="0"/>
        <w:kinsoku/>
        <w:wordWrap/>
        <w:overflowPunct/>
        <w:topLinePunct w:val="0"/>
        <w:bidi w:val="0"/>
        <w:snapToGrid/>
        <w:spacing w:line="44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2.项目名称：商业大厦弱电系统升级改造工程</w:t>
      </w:r>
    </w:p>
    <w:p>
      <w:pPr>
        <w:keepNext w:val="0"/>
        <w:keepLines w:val="0"/>
        <w:pageBreakBefore w:val="0"/>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3.项目地点：合肥市金寨路1168号</w:t>
      </w:r>
    </w:p>
    <w:p>
      <w:pPr>
        <w:keepNext w:val="0"/>
        <w:keepLines w:val="0"/>
        <w:pageBreakBefore w:val="0"/>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4.项目概算：1918707.29元</w:t>
      </w:r>
    </w:p>
    <w:p>
      <w:pPr>
        <w:keepNext w:val="0"/>
        <w:keepLines w:val="0"/>
        <w:pageBreakBefore w:val="0"/>
        <w:kinsoku/>
        <w:wordWrap/>
        <w:overflowPunct/>
        <w:topLinePunct w:val="0"/>
        <w:bidi w:val="0"/>
        <w:snapToGrid/>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二、投标人资格：</w:t>
      </w:r>
    </w:p>
    <w:p>
      <w:pPr>
        <w:keepNext w:val="0"/>
        <w:keepLines w:val="0"/>
        <w:pageBreakBefore w:val="0"/>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kern w:val="0"/>
          <w:sz w:val="24"/>
          <w:szCs w:val="24"/>
        </w:rPr>
        <w:t>具有独立法人和一般纳税人资质；</w:t>
      </w:r>
    </w:p>
    <w:p>
      <w:pPr>
        <w:keepNext w:val="0"/>
        <w:keepLines w:val="0"/>
        <w:pageBreakBefore w:val="0"/>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2.具有安防工程三级及以上（含三级）资质；</w:t>
      </w:r>
    </w:p>
    <w:p>
      <w:pPr>
        <w:keepNext w:val="0"/>
        <w:keepLines w:val="0"/>
        <w:pageBreakBefore w:val="0"/>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shd w:val="clear" w:color="auto" w:fill="FDFFFB"/>
        </w:rPr>
        <w:t>3.</w:t>
      </w:r>
      <w:r>
        <w:rPr>
          <w:rFonts w:hint="eastAsia" w:asciiTheme="minorEastAsia" w:hAnsiTheme="minorEastAsia" w:eastAsiaTheme="minorEastAsia" w:cstheme="minorEastAsia"/>
          <w:kern w:val="0"/>
          <w:sz w:val="24"/>
          <w:szCs w:val="24"/>
        </w:rPr>
        <w:t>提供201</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年1月1日至今金额不低于100万元弱电工程施工业绩；</w:t>
      </w:r>
    </w:p>
    <w:p>
      <w:pPr>
        <w:keepNext w:val="0"/>
        <w:keepLines w:val="0"/>
        <w:pageBreakBefore w:val="0"/>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4.投标人须符合下列情形之一（以在“安徽合肥公共资源交易中心”网站http://ggzy.hefei.gov.cn/pgt/exposureDesk.html查询信息为准）：</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xml:space="preserve">    1）开标日前两年内未被合肥市及其所辖县（市）公共资源交易监督管理局记不良行为记录或记不良行为记录累计未满10分的。 </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xml:space="preserve">    2）最近一次被合肥市及其所辖县（市）公共资源交易监督管理局记不良行为记录累计记分达10分(含10分)到15分且公布日距开标日超过6个月。 </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xml:space="preserve">    3）最近一次被合肥市及其所辖县（市）公共资源交易监督管理局记不良行为记录累计记分达15分(含15分)到20分且公布日距开标日超过12个月。 </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xml:space="preserve">    4）最近一次被合肥市及其所辖县（市）公共资源交易监督管理局记不良行为记录累计记分达20分(含20分)及以上且公布日距开标日超过24个月。</w:t>
      </w:r>
    </w:p>
    <w:p>
      <w:pPr>
        <w:keepNext w:val="0"/>
        <w:keepLines w:val="0"/>
        <w:pageBreakBefore w:val="0"/>
        <w:kinsoku/>
        <w:wordWrap/>
        <w:overflowPunct/>
        <w:topLinePunct w:val="0"/>
        <w:bidi w:val="0"/>
        <w:snapToGrid/>
        <w:spacing w:line="440" w:lineRule="exact"/>
        <w:ind w:left="420" w:leftChars="200" w:firstLine="120" w:firstLineChars="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5.投标人存在以下不良信用记录情形之一的，不得推荐为中标候选人，不得确定为中标人（以在“信用中国”网站http://www.creditchina.gov.cn/查询信息为准）：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1)投标人被人民法院列入失信被执行人的。</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2)投标人被列入政府采购严重违法失信名单的。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3)投标人被工商行政管理部门列入企业经营异常名录的。</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4)投标人被税务部门列入重大税收违法案件当事人名单的。 </w:t>
      </w:r>
    </w:p>
    <w:p>
      <w:pPr>
        <w:keepNext w:val="0"/>
        <w:keepLines w:val="0"/>
        <w:pageBreakBefore w:val="0"/>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DFFFB"/>
        </w:rPr>
        <w:t>6.</w:t>
      </w:r>
      <w:r>
        <w:rPr>
          <w:rFonts w:hint="eastAsia" w:asciiTheme="minorEastAsia" w:hAnsiTheme="minorEastAsia" w:eastAsiaTheme="minorEastAsia" w:cstheme="minorEastAsia"/>
          <w:sz w:val="24"/>
          <w:szCs w:val="24"/>
        </w:rPr>
        <w:t>本项目不接受联合体投标。</w:t>
      </w:r>
    </w:p>
    <w:p>
      <w:pPr>
        <w:keepNext w:val="0"/>
        <w:keepLines w:val="0"/>
        <w:pageBreakBefore w:val="0"/>
        <w:kinsoku/>
        <w:wordWrap/>
        <w:overflowPunct/>
        <w:topLinePunct w:val="0"/>
        <w:bidi w:val="0"/>
        <w:snapToGrid/>
        <w:spacing w:line="44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注：</w:t>
      </w:r>
      <w:r>
        <w:rPr>
          <w:rFonts w:hint="eastAsia" w:asciiTheme="minorEastAsia" w:hAnsiTheme="minorEastAsia" w:eastAsiaTheme="minorEastAsia" w:cstheme="minorEastAsia"/>
          <w:b/>
          <w:kern w:val="0"/>
          <w:sz w:val="24"/>
          <w:szCs w:val="24"/>
        </w:rPr>
        <w:t>以上证明文件复印件加盖公章后做入投标文件；</w:t>
      </w: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bidi w:val="0"/>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三、招标文件领取方法</w:t>
      </w:r>
      <w:r>
        <w:rPr>
          <w:rFonts w:hint="eastAsia" w:asciiTheme="minorEastAsia" w:hAnsiTheme="minorEastAsia" w:eastAsiaTheme="minorEastAsia" w:cstheme="minorEastAsia"/>
          <w:sz w:val="24"/>
          <w:szCs w:val="24"/>
        </w:rPr>
        <w:t>： </w:t>
      </w:r>
    </w:p>
    <w:p>
      <w:pPr>
        <w:keepNext w:val="0"/>
        <w:keepLines w:val="0"/>
        <w:pageBreakBefore w:val="0"/>
        <w:kinsoku/>
        <w:wordWrap/>
        <w:overflowPunct/>
        <w:topLinePunct w:val="0"/>
        <w:bidi w:val="0"/>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1.领取日期：2020年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2020年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日</w:t>
      </w:r>
    </w:p>
    <w:p>
      <w:pPr>
        <w:pStyle w:val="66"/>
        <w:keepNext w:val="0"/>
        <w:keepLines w:val="0"/>
        <w:pageBreakBefore w:val="0"/>
        <w:kinsoku/>
        <w:wordWrap/>
        <w:overflowPunct/>
        <w:topLinePunct w:val="0"/>
        <w:bidi w:val="0"/>
        <w:snapToGrid/>
        <w:spacing w:line="440" w:lineRule="exact"/>
        <w:ind w:firstLine="480" w:firstLineChars="200"/>
        <w:jc w:val="left"/>
        <w:textAlignment w:val="auto"/>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sz w:val="24"/>
          <w:szCs w:val="24"/>
        </w:rPr>
        <w:t>2.领取方法：登录网站</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"http://www.hfbh.com.cn/" \t "_blank" </w:instrText>
      </w:r>
      <w:r>
        <w:rPr>
          <w:rFonts w:hint="eastAsia" w:asciiTheme="minorEastAsia" w:hAnsiTheme="minorEastAsia" w:eastAsiaTheme="minorEastAsia" w:cstheme="minorEastAsia"/>
          <w:sz w:val="24"/>
          <w:szCs w:val="24"/>
        </w:rPr>
        <w:fldChar w:fldCharType="separate"/>
      </w:r>
      <w:r>
        <w:rPr>
          <w:rStyle w:val="28"/>
          <w:rFonts w:hint="eastAsia" w:asciiTheme="minorEastAsia" w:hAnsiTheme="minorEastAsia" w:eastAsiaTheme="minorEastAsia" w:cstheme="minorEastAsia"/>
          <w:color w:val="auto"/>
          <w:sz w:val="24"/>
          <w:szCs w:val="24"/>
          <w:u w:val="none"/>
        </w:rPr>
        <w:t>www.hfbh.com.cn</w:t>
      </w:r>
      <w:r>
        <w:rPr>
          <w:rStyle w:val="28"/>
          <w:rFonts w:hint="eastAsia" w:asciiTheme="minorEastAsia" w:hAnsiTheme="minorEastAsia" w:eastAsiaTheme="minorEastAsia" w:cstheme="minorEastAsia"/>
          <w:color w:val="auto"/>
          <w:sz w:val="24"/>
          <w:szCs w:val="24"/>
          <w:u w:val="none"/>
        </w:rPr>
        <w:fldChar w:fldCharType="end"/>
      </w:r>
      <w:r>
        <w:rPr>
          <w:rFonts w:hint="eastAsia" w:asciiTheme="minorEastAsia" w:hAnsiTheme="minorEastAsia" w:eastAsiaTheme="minorEastAsia" w:cstheme="minorEastAsia"/>
          <w:sz w:val="24"/>
          <w:szCs w:val="24"/>
        </w:rPr>
        <w:t>下载标书（下标书的投标单位按要求参加资格审查）。</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
          <w:sz w:val="24"/>
          <w:szCs w:val="24"/>
        </w:rPr>
        <w:t>四、</w:t>
      </w:r>
      <w:r>
        <w:rPr>
          <w:rFonts w:hint="eastAsia" w:asciiTheme="minorEastAsia" w:hAnsiTheme="minorEastAsia" w:eastAsiaTheme="minorEastAsia" w:cstheme="minorEastAsia"/>
          <w:b/>
          <w:bCs/>
          <w:color w:val="auto"/>
          <w:sz w:val="24"/>
          <w:szCs w:val="24"/>
          <w:lang w:val="zh-CN"/>
        </w:rPr>
        <w:t>资格预审及兼容性测试：</w:t>
      </w:r>
    </w:p>
    <w:p>
      <w:pPr>
        <w:pStyle w:val="66"/>
        <w:keepNext w:val="0"/>
        <w:keepLines w:val="0"/>
        <w:pageBreakBefore w:val="0"/>
        <w:kinsoku/>
        <w:wordWrap/>
        <w:overflowPunct/>
        <w:topLinePunct w:val="0"/>
        <w:bidi w:val="0"/>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shd w:val="clear" w:color="auto" w:fill="FDFFFB"/>
          <w:lang w:eastAsia="zh-CN"/>
        </w:rPr>
      </w:pPr>
      <w:r>
        <w:rPr>
          <w:rFonts w:hint="eastAsia" w:asciiTheme="minorEastAsia" w:hAnsiTheme="minorEastAsia" w:eastAsiaTheme="minorEastAsia" w:cstheme="minorEastAsia"/>
          <w:b w:val="0"/>
          <w:bCs/>
          <w:color w:val="auto"/>
          <w:sz w:val="24"/>
          <w:szCs w:val="24"/>
          <w:shd w:val="clear" w:color="auto" w:fill="FFFFFF"/>
        </w:rPr>
        <w:t>2020</w:t>
      </w:r>
      <w:r>
        <w:rPr>
          <w:rFonts w:hint="eastAsia" w:asciiTheme="minorEastAsia" w:hAnsiTheme="minorEastAsia" w:eastAsiaTheme="minorEastAsia" w:cstheme="minorEastAsia"/>
          <w:b w:val="0"/>
          <w:bCs/>
          <w:color w:val="auto"/>
          <w:sz w:val="24"/>
          <w:szCs w:val="24"/>
          <w:shd w:val="clear" w:color="auto" w:fill="FFFFFF"/>
          <w:lang w:eastAsia="zh-CN"/>
        </w:rPr>
        <w:t>年</w:t>
      </w:r>
      <w:r>
        <w:rPr>
          <w:rFonts w:hint="eastAsia" w:asciiTheme="minorEastAsia" w:hAnsiTheme="minorEastAsia" w:eastAsiaTheme="minorEastAsia" w:cstheme="minorEastAsia"/>
          <w:b w:val="0"/>
          <w:bCs/>
          <w:color w:val="auto"/>
          <w:sz w:val="24"/>
          <w:szCs w:val="24"/>
          <w:shd w:val="clear" w:color="auto" w:fill="FFFFFF"/>
          <w:lang w:val="en-US" w:eastAsia="zh-CN"/>
        </w:rPr>
        <w:t>4</w:t>
      </w:r>
      <w:r>
        <w:rPr>
          <w:rFonts w:hint="eastAsia" w:asciiTheme="minorEastAsia" w:hAnsiTheme="minorEastAsia" w:eastAsiaTheme="minorEastAsia" w:cstheme="minorEastAsia"/>
          <w:b w:val="0"/>
          <w:bCs/>
          <w:color w:val="auto"/>
          <w:sz w:val="24"/>
          <w:szCs w:val="24"/>
          <w:shd w:val="clear" w:color="auto" w:fill="FFFFFF"/>
        </w:rPr>
        <w:t>月</w:t>
      </w:r>
      <w:r>
        <w:rPr>
          <w:rFonts w:hint="eastAsia" w:asciiTheme="minorEastAsia" w:hAnsiTheme="minorEastAsia" w:eastAsiaTheme="minorEastAsia" w:cstheme="minorEastAsia"/>
          <w:b w:val="0"/>
          <w:bCs/>
          <w:color w:val="auto"/>
          <w:sz w:val="24"/>
          <w:szCs w:val="24"/>
          <w:shd w:val="clear" w:color="auto" w:fill="FFFFFF"/>
          <w:lang w:val="en-US" w:eastAsia="zh-CN"/>
        </w:rPr>
        <w:t>20</w:t>
      </w:r>
      <w:r>
        <w:rPr>
          <w:rFonts w:hint="eastAsia" w:asciiTheme="minorEastAsia" w:hAnsiTheme="minorEastAsia" w:eastAsiaTheme="minorEastAsia" w:cstheme="minorEastAsia"/>
          <w:b w:val="0"/>
          <w:bCs/>
          <w:color w:val="auto"/>
          <w:sz w:val="24"/>
          <w:szCs w:val="24"/>
          <w:shd w:val="clear" w:color="auto" w:fill="FFFFFF"/>
        </w:rPr>
        <w:t>日1</w:t>
      </w:r>
      <w:r>
        <w:rPr>
          <w:rFonts w:hint="eastAsia" w:asciiTheme="minorEastAsia" w:hAnsiTheme="minorEastAsia" w:eastAsiaTheme="minorEastAsia" w:cstheme="minorEastAsia"/>
          <w:b w:val="0"/>
          <w:bCs/>
          <w:color w:val="auto"/>
          <w:sz w:val="24"/>
          <w:szCs w:val="24"/>
          <w:shd w:val="clear" w:color="auto" w:fill="FFFFFF"/>
          <w:lang w:val="en-US" w:eastAsia="zh-CN"/>
        </w:rPr>
        <w:t>2</w:t>
      </w:r>
      <w:r>
        <w:rPr>
          <w:rFonts w:hint="eastAsia" w:asciiTheme="minorEastAsia" w:hAnsiTheme="minorEastAsia" w:eastAsiaTheme="minorEastAsia" w:cstheme="minorEastAsia"/>
          <w:b w:val="0"/>
          <w:bCs/>
          <w:color w:val="auto"/>
          <w:sz w:val="24"/>
          <w:szCs w:val="24"/>
          <w:shd w:val="clear" w:color="auto" w:fill="FFFFFF"/>
        </w:rPr>
        <w:t>:00之前将本章第二条“投标人要求”中的相关材料电子版发送至QQ邮箱277351016接受资格预审，审查</w:t>
      </w:r>
      <w:r>
        <w:rPr>
          <w:rFonts w:hint="eastAsia" w:asciiTheme="minorEastAsia" w:hAnsiTheme="minorEastAsia" w:eastAsiaTheme="minorEastAsia" w:cstheme="minorEastAsia"/>
          <w:b w:val="0"/>
          <w:bCs/>
          <w:color w:val="auto"/>
          <w:sz w:val="24"/>
          <w:szCs w:val="24"/>
          <w:shd w:val="clear" w:color="auto" w:fill="FFFFFF"/>
          <w:lang w:eastAsia="zh-CN"/>
        </w:rPr>
        <w:t>通过</w:t>
      </w:r>
      <w:r>
        <w:rPr>
          <w:rFonts w:hint="eastAsia" w:asciiTheme="minorEastAsia" w:hAnsiTheme="minorEastAsia" w:eastAsiaTheme="minorEastAsia" w:cstheme="minorEastAsia"/>
          <w:b w:val="0"/>
          <w:bCs/>
          <w:color w:val="auto"/>
          <w:sz w:val="24"/>
          <w:szCs w:val="24"/>
          <w:shd w:val="clear" w:color="auto" w:fill="FFFFFF"/>
        </w:rPr>
        <w:t>的投标人</w:t>
      </w:r>
      <w:r>
        <w:rPr>
          <w:rFonts w:hint="eastAsia" w:asciiTheme="minorEastAsia" w:hAnsiTheme="minorEastAsia" w:eastAsiaTheme="minorEastAsia" w:cstheme="minorEastAsia"/>
          <w:b w:val="0"/>
          <w:bCs/>
          <w:sz w:val="24"/>
          <w:szCs w:val="24"/>
          <w:shd w:val="clear" w:color="auto" w:fill="FDFFFB"/>
        </w:rPr>
        <w:t>须</w:t>
      </w:r>
      <w:r>
        <w:rPr>
          <w:rFonts w:hint="eastAsia" w:asciiTheme="minorEastAsia" w:hAnsiTheme="minorEastAsia" w:eastAsiaTheme="minorEastAsia" w:cstheme="minorEastAsia"/>
          <w:b w:val="0"/>
          <w:bCs/>
          <w:sz w:val="24"/>
          <w:szCs w:val="24"/>
          <w:shd w:val="clear" w:color="auto" w:fill="FDFFFB"/>
          <w:lang w:eastAsia="zh-CN"/>
        </w:rPr>
        <w:t>对所投</w:t>
      </w:r>
      <w:r>
        <w:rPr>
          <w:rFonts w:hint="eastAsia" w:asciiTheme="minorEastAsia" w:hAnsiTheme="minorEastAsia" w:eastAsiaTheme="minorEastAsia" w:cstheme="minorEastAsia"/>
          <w:b w:val="0"/>
          <w:bCs/>
          <w:sz w:val="24"/>
          <w:szCs w:val="24"/>
          <w:shd w:val="clear" w:color="auto" w:fill="FDFFFB"/>
        </w:rPr>
        <w:t>上网行为管理设备进行兼容性测试</w:t>
      </w:r>
      <w:r>
        <w:rPr>
          <w:rFonts w:hint="eastAsia" w:asciiTheme="minorEastAsia" w:hAnsiTheme="minorEastAsia" w:eastAsiaTheme="minorEastAsia" w:cstheme="minorEastAsia"/>
          <w:b w:val="0"/>
          <w:bCs/>
          <w:sz w:val="24"/>
          <w:szCs w:val="24"/>
          <w:shd w:val="clear" w:color="auto" w:fill="FDFFFB"/>
          <w:lang w:eastAsia="zh-CN"/>
        </w:rPr>
        <w:t>。</w:t>
      </w:r>
    </w:p>
    <w:p>
      <w:pPr>
        <w:pStyle w:val="66"/>
        <w:keepNext w:val="0"/>
        <w:keepLines w:val="0"/>
        <w:pageBreakBefore w:val="0"/>
        <w:kinsoku/>
        <w:wordWrap/>
        <w:overflowPunct/>
        <w:topLinePunct w:val="0"/>
        <w:bidi w:val="0"/>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shd w:val="clear" w:color="auto" w:fill="FDFFFB"/>
        </w:rPr>
        <w:t>兼容性测试</w:t>
      </w:r>
      <w:r>
        <w:rPr>
          <w:rFonts w:hint="eastAsia" w:asciiTheme="minorEastAsia" w:hAnsiTheme="minorEastAsia" w:eastAsiaTheme="minorEastAsia" w:cstheme="minorEastAsia"/>
          <w:b w:val="0"/>
          <w:bCs/>
          <w:sz w:val="24"/>
          <w:szCs w:val="24"/>
          <w:shd w:val="clear" w:color="auto" w:fill="FDFFFB"/>
          <w:lang w:eastAsia="zh-CN"/>
        </w:rPr>
        <w:t>：</w:t>
      </w:r>
      <w:r>
        <w:rPr>
          <w:rFonts w:hint="eastAsia" w:asciiTheme="minorEastAsia" w:hAnsiTheme="minorEastAsia" w:eastAsiaTheme="minorEastAsia" w:cstheme="minorEastAsia"/>
          <w:b w:val="0"/>
          <w:bCs/>
          <w:color w:val="auto"/>
          <w:sz w:val="24"/>
          <w:szCs w:val="24"/>
          <w:shd w:val="clear" w:color="auto" w:fill="FFFFFF"/>
        </w:rPr>
        <w:t>2020</w:t>
      </w:r>
      <w:r>
        <w:rPr>
          <w:rFonts w:hint="eastAsia" w:asciiTheme="minorEastAsia" w:hAnsiTheme="minorEastAsia" w:eastAsiaTheme="minorEastAsia" w:cstheme="minorEastAsia"/>
          <w:b w:val="0"/>
          <w:bCs/>
          <w:color w:val="auto"/>
          <w:sz w:val="24"/>
          <w:szCs w:val="24"/>
          <w:shd w:val="clear" w:color="auto" w:fill="FFFFFF"/>
          <w:lang w:eastAsia="zh-CN"/>
        </w:rPr>
        <w:t>年</w:t>
      </w:r>
      <w:r>
        <w:rPr>
          <w:rFonts w:hint="eastAsia" w:asciiTheme="minorEastAsia" w:hAnsiTheme="minorEastAsia" w:eastAsiaTheme="minorEastAsia" w:cstheme="minorEastAsia"/>
          <w:b w:val="0"/>
          <w:bCs/>
          <w:color w:val="auto"/>
          <w:sz w:val="24"/>
          <w:szCs w:val="24"/>
          <w:shd w:val="clear" w:color="auto" w:fill="FFFFFF"/>
          <w:lang w:val="en-US" w:eastAsia="zh-CN"/>
        </w:rPr>
        <w:t>4</w:t>
      </w:r>
      <w:r>
        <w:rPr>
          <w:rFonts w:hint="eastAsia" w:asciiTheme="minorEastAsia" w:hAnsiTheme="minorEastAsia" w:eastAsiaTheme="minorEastAsia" w:cstheme="minorEastAsia"/>
          <w:b w:val="0"/>
          <w:bCs/>
          <w:color w:val="auto"/>
          <w:sz w:val="24"/>
          <w:szCs w:val="24"/>
          <w:shd w:val="clear" w:color="auto" w:fill="FFFFFF"/>
        </w:rPr>
        <w:t>月</w:t>
      </w:r>
      <w:r>
        <w:rPr>
          <w:rFonts w:hint="eastAsia" w:asciiTheme="minorEastAsia" w:hAnsiTheme="minorEastAsia" w:eastAsiaTheme="minorEastAsia" w:cstheme="minorEastAsia"/>
          <w:b w:val="0"/>
          <w:bCs/>
          <w:color w:val="auto"/>
          <w:sz w:val="24"/>
          <w:szCs w:val="24"/>
          <w:shd w:val="clear" w:color="auto" w:fill="FFFFFF"/>
          <w:lang w:val="en-US" w:eastAsia="zh-CN"/>
        </w:rPr>
        <w:t>20</w:t>
      </w:r>
      <w:r>
        <w:rPr>
          <w:rFonts w:hint="eastAsia" w:asciiTheme="minorEastAsia" w:hAnsiTheme="minorEastAsia" w:eastAsiaTheme="minorEastAsia" w:cstheme="minorEastAsia"/>
          <w:b w:val="0"/>
          <w:bCs/>
          <w:color w:val="auto"/>
          <w:sz w:val="24"/>
          <w:szCs w:val="24"/>
          <w:shd w:val="clear" w:color="auto" w:fill="FFFFFF"/>
        </w:rPr>
        <w:t>日1</w:t>
      </w:r>
      <w:r>
        <w:rPr>
          <w:rFonts w:hint="eastAsia" w:asciiTheme="minorEastAsia" w:hAnsiTheme="minorEastAsia" w:eastAsiaTheme="minorEastAsia" w:cstheme="minorEastAsia"/>
          <w:b w:val="0"/>
          <w:bCs/>
          <w:color w:val="auto"/>
          <w:sz w:val="24"/>
          <w:szCs w:val="24"/>
          <w:shd w:val="clear" w:color="auto" w:fill="FFFFFF"/>
          <w:lang w:val="en-US" w:eastAsia="zh-CN"/>
        </w:rPr>
        <w:t>2</w:t>
      </w:r>
      <w:r>
        <w:rPr>
          <w:rFonts w:hint="eastAsia" w:asciiTheme="minorEastAsia" w:hAnsiTheme="minorEastAsia" w:eastAsiaTheme="minorEastAsia" w:cstheme="minorEastAsia"/>
          <w:b w:val="0"/>
          <w:bCs/>
          <w:color w:val="auto"/>
          <w:sz w:val="24"/>
          <w:szCs w:val="24"/>
          <w:shd w:val="clear" w:color="auto" w:fill="FFFFFF"/>
        </w:rPr>
        <w:t>:00之前</w:t>
      </w:r>
      <w:r>
        <w:rPr>
          <w:rFonts w:hint="eastAsia" w:asciiTheme="minorEastAsia" w:hAnsiTheme="minorEastAsia" w:eastAsiaTheme="minorEastAsia" w:cstheme="minorEastAsia"/>
          <w:b w:val="0"/>
          <w:bCs/>
          <w:color w:val="auto"/>
          <w:sz w:val="24"/>
          <w:szCs w:val="24"/>
          <w:shd w:val="clear" w:color="auto" w:fill="FFFFFF"/>
          <w:lang w:eastAsia="zh-CN"/>
        </w:rPr>
        <w:t>将</w:t>
      </w:r>
      <w:r>
        <w:rPr>
          <w:rFonts w:hint="eastAsia" w:asciiTheme="minorEastAsia" w:hAnsiTheme="minorEastAsia" w:eastAsiaTheme="minorEastAsia" w:cstheme="minorEastAsia"/>
          <w:b w:val="0"/>
          <w:bCs/>
          <w:color w:val="auto"/>
          <w:sz w:val="24"/>
          <w:szCs w:val="24"/>
          <w:shd w:val="clear" w:color="auto" w:fill="FFFFFF"/>
          <w:lang w:val="en-US" w:eastAsia="zh-CN"/>
        </w:rPr>
        <w:t>所投型号上网行为管理设备送至商业大厦8楼信息机房进行测试。</w:t>
      </w:r>
      <w:r>
        <w:rPr>
          <w:rFonts w:hint="eastAsia" w:asciiTheme="minorEastAsia" w:hAnsiTheme="minorEastAsia" w:eastAsiaTheme="minorEastAsia" w:cstheme="minorEastAsia"/>
          <w:b w:val="0"/>
          <w:bCs/>
          <w:sz w:val="24"/>
          <w:szCs w:val="24"/>
          <w:shd w:val="clear" w:color="auto" w:fill="FDFFFB"/>
        </w:rPr>
        <w:t>须满足</w:t>
      </w:r>
      <w:r>
        <w:rPr>
          <w:rFonts w:hint="eastAsia" w:asciiTheme="minorEastAsia" w:hAnsiTheme="minorEastAsia" w:eastAsiaTheme="minorEastAsia" w:cstheme="minorEastAsia"/>
          <w:b w:val="0"/>
          <w:bCs/>
          <w:sz w:val="24"/>
          <w:szCs w:val="24"/>
        </w:rPr>
        <w:t>与集团总部现有的集中管理平台实现无缝对接，实现集团总部对分公司进行集中管控和日志管理功能。</w:t>
      </w:r>
    </w:p>
    <w:p>
      <w:pPr>
        <w:pStyle w:val="66"/>
        <w:keepNext w:val="0"/>
        <w:keepLines w:val="0"/>
        <w:pageBreakBefore w:val="0"/>
        <w:kinsoku/>
        <w:wordWrap/>
        <w:overflowPunct/>
        <w:topLinePunct w:val="0"/>
        <w:bidi w:val="0"/>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资格预审及兼容性测试</w:t>
      </w:r>
      <w:r>
        <w:rPr>
          <w:rFonts w:hint="eastAsia" w:asciiTheme="minorEastAsia" w:hAnsiTheme="minorEastAsia" w:eastAsiaTheme="minorEastAsia" w:cstheme="minorEastAsia"/>
          <w:b w:val="0"/>
          <w:bCs/>
          <w:sz w:val="24"/>
          <w:szCs w:val="24"/>
        </w:rPr>
        <w:t>合格的投标单位以转账的方式缴纳投标保证金，未按时参加资格</w:t>
      </w:r>
      <w:r>
        <w:rPr>
          <w:rFonts w:hint="eastAsia" w:asciiTheme="minorEastAsia" w:hAnsiTheme="minorEastAsia" w:eastAsiaTheme="minorEastAsia" w:cstheme="minorEastAsia"/>
          <w:b w:val="0"/>
          <w:bCs/>
          <w:sz w:val="24"/>
          <w:szCs w:val="24"/>
          <w:lang w:eastAsia="zh-CN"/>
        </w:rPr>
        <w:t>预审或兼容性测试</w:t>
      </w:r>
      <w:r>
        <w:rPr>
          <w:rFonts w:hint="eastAsia" w:asciiTheme="minorEastAsia" w:hAnsiTheme="minorEastAsia" w:eastAsiaTheme="minorEastAsia" w:cstheme="minorEastAsia"/>
          <w:b w:val="0"/>
          <w:bCs/>
          <w:sz w:val="24"/>
          <w:szCs w:val="24"/>
        </w:rPr>
        <w:t>不合格的投标人，招标人有权不接受其投标。 </w:t>
      </w:r>
    </w:p>
    <w:p>
      <w:pPr>
        <w:keepNext w:val="0"/>
        <w:keepLines w:val="0"/>
        <w:pageBreakBefore w:val="0"/>
        <w:kinsoku/>
        <w:wordWrap/>
        <w:overflowPunct/>
        <w:topLinePunct w:val="0"/>
        <w:bidi w:val="0"/>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五、投标保证金：</w:t>
      </w:r>
      <w:r>
        <w:rPr>
          <w:rFonts w:hint="eastAsia" w:asciiTheme="minorEastAsia" w:hAnsiTheme="minorEastAsia" w:eastAsiaTheme="minorEastAsia" w:cstheme="minorEastAsia"/>
          <w:sz w:val="24"/>
          <w:szCs w:val="24"/>
        </w:rPr>
        <w:t>2020年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日16：00前（以实际到账时间为准）通过转账的方式缴纳投标保证金</w:t>
      </w:r>
      <w:r>
        <w:rPr>
          <w:rFonts w:hint="eastAsia" w:asciiTheme="minorEastAsia" w:hAnsiTheme="minorEastAsia" w:eastAsiaTheme="minorEastAsia" w:cstheme="minorEastAsia"/>
          <w:b/>
          <w:sz w:val="24"/>
          <w:szCs w:val="24"/>
        </w:rPr>
        <w:t>贰万</w:t>
      </w:r>
      <w:r>
        <w:rPr>
          <w:rFonts w:hint="eastAsia" w:asciiTheme="minorEastAsia" w:hAnsiTheme="minorEastAsia" w:eastAsiaTheme="minorEastAsia" w:cstheme="minorEastAsia"/>
          <w:sz w:val="24"/>
          <w:szCs w:val="24"/>
        </w:rPr>
        <w:t>元整，如中标，该保证金待投标单位缴纳履约保证金后无息退还；如未中标，招标结束后无息退还。</w:t>
      </w:r>
    </w:p>
    <w:p>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名  称：合肥百货大楼集团商业大厦有限责任公司        </w:t>
      </w:r>
    </w:p>
    <w:p>
      <w:pPr>
        <w:keepNext w:val="0"/>
        <w:keepLines w:val="0"/>
        <w:pageBreakBefore w:val="0"/>
        <w:kinsoku/>
        <w:wordWrap/>
        <w:overflowPunct/>
        <w:topLinePunct w:val="0"/>
        <w:bidi w:val="0"/>
        <w:snapToGrid/>
        <w:spacing w:line="440" w:lineRule="exact"/>
        <w:ind w:left="6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开户行：建行合肥城南支行</w:t>
      </w:r>
    </w:p>
    <w:p>
      <w:pPr>
        <w:keepNext w:val="0"/>
        <w:keepLines w:val="0"/>
        <w:pageBreakBefore w:val="0"/>
        <w:kinsoku/>
        <w:wordWrap/>
        <w:overflowPunct/>
        <w:topLinePunct w:val="0"/>
        <w:bidi w:val="0"/>
        <w:snapToGrid/>
        <w:spacing w:line="440" w:lineRule="exact"/>
        <w:ind w:left="6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号：3400 1458 6080 6080 5002 6410</w:t>
      </w:r>
    </w:p>
    <w:p>
      <w:pPr>
        <w:keepNext w:val="0"/>
        <w:keepLines w:val="0"/>
        <w:pageBreakBefore w:val="0"/>
        <w:kinsoku/>
        <w:wordWrap/>
        <w:overflowPunct/>
        <w:topLinePunct w:val="0"/>
        <w:bidi w:val="0"/>
        <w:snapToGrid/>
        <w:spacing w:line="440" w:lineRule="exact"/>
        <w:ind w:left="6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纳税识别号：9134 0100 1491 93154X</w:t>
      </w:r>
    </w:p>
    <w:p>
      <w:pPr>
        <w:keepNext w:val="0"/>
        <w:keepLines w:val="0"/>
        <w:pageBreakBefore w:val="0"/>
        <w:kinsoku/>
        <w:wordWrap/>
        <w:overflowPunct/>
        <w:topLinePunct w:val="0"/>
        <w:bidi w:val="0"/>
        <w:snapToGrid/>
        <w:spacing w:line="440" w:lineRule="exact"/>
        <w:ind w:left="42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sz w:val="24"/>
          <w:szCs w:val="24"/>
        </w:rPr>
        <w:t>地址、电话：合肥市金寨路1168号     0551</w:t>
      </w:r>
      <w:bookmarkStart w:id="48" w:name="_GoBack"/>
      <w:bookmarkEnd w:id="48"/>
      <w:r>
        <w:rPr>
          <w:rFonts w:hint="eastAsia" w:asciiTheme="minorEastAsia" w:hAnsiTheme="minorEastAsia" w:eastAsiaTheme="minorEastAsia" w:cstheme="minorEastAsia"/>
          <w:sz w:val="24"/>
          <w:szCs w:val="24"/>
        </w:rPr>
        <w:t>-63637954</w:t>
      </w:r>
      <w:r>
        <w:rPr>
          <w:rFonts w:hint="eastAsia" w:asciiTheme="minorEastAsia" w:hAnsiTheme="minorEastAsia" w:eastAsiaTheme="minorEastAsia" w:cstheme="minorEastAsia"/>
          <w:kern w:val="0"/>
          <w:sz w:val="24"/>
          <w:szCs w:val="24"/>
          <w:lang w:val="zh-CN"/>
        </w:rPr>
        <w:t xml:space="preserve">        </w:t>
      </w:r>
    </w:p>
    <w:p>
      <w:pPr>
        <w:keepNext w:val="0"/>
        <w:keepLines w:val="0"/>
        <w:pageBreakBefore w:val="0"/>
        <w:kinsoku/>
        <w:wordWrap/>
        <w:overflowPunct/>
        <w:topLinePunct w:val="0"/>
        <w:bidi w:val="0"/>
        <w:snapToGrid/>
        <w:spacing w:line="440" w:lineRule="exact"/>
        <w:ind w:firstLine="42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（转帐时请备注“××项目投标保证金”）</w:t>
      </w:r>
    </w:p>
    <w:p>
      <w:pPr>
        <w:keepNext w:val="0"/>
        <w:keepLines w:val="0"/>
        <w:pageBreakBefore w:val="0"/>
        <w:kinsoku/>
        <w:wordWrap/>
        <w:overflowPunct/>
        <w:topLinePunct w:val="0"/>
        <w:bidi w:val="0"/>
        <w:snapToGrid/>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六、开标时间及地点：</w:t>
      </w:r>
    </w:p>
    <w:p>
      <w:pPr>
        <w:keepNext w:val="0"/>
        <w:keepLines w:val="0"/>
        <w:pageBreakBefore w:val="0"/>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1.开标时间：2020年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9:00</w:t>
      </w:r>
      <w:r>
        <w:rPr>
          <w:rFonts w:hint="eastAsia" w:asciiTheme="minorEastAsia" w:hAnsiTheme="minorEastAsia" w:eastAsiaTheme="minorEastAsia" w:cstheme="minorEastAsia"/>
          <w:sz w:val="24"/>
          <w:szCs w:val="24"/>
        </w:rPr>
        <w:t>（如有调整，另行通知）</w:t>
      </w:r>
    </w:p>
    <w:p>
      <w:pPr>
        <w:keepNext w:val="0"/>
        <w:keepLines w:val="0"/>
        <w:pageBreakBefore w:val="0"/>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2.开标地点：</w:t>
      </w:r>
      <w:r>
        <w:rPr>
          <w:rFonts w:hint="eastAsia" w:asciiTheme="minorEastAsia" w:hAnsiTheme="minorEastAsia" w:eastAsiaTheme="minorEastAsia" w:cstheme="minorEastAsia"/>
          <w:kern w:val="0"/>
          <w:sz w:val="24"/>
          <w:szCs w:val="24"/>
        </w:rPr>
        <w:t>合肥市黄山路596号合肥百大集团12</w:t>
      </w:r>
      <w:r>
        <w:rPr>
          <w:rFonts w:hint="eastAsia" w:asciiTheme="minorEastAsia" w:hAnsiTheme="minorEastAsia" w:eastAsiaTheme="minorEastAsia" w:cstheme="minorEastAsia"/>
          <w:kern w:val="0"/>
          <w:sz w:val="24"/>
          <w:szCs w:val="24"/>
          <w:lang w:val="en-US" w:eastAsia="zh-CN"/>
        </w:rPr>
        <w:t>09</w:t>
      </w:r>
      <w:r>
        <w:rPr>
          <w:rFonts w:hint="eastAsia" w:asciiTheme="minorEastAsia" w:hAnsiTheme="minorEastAsia" w:eastAsiaTheme="minorEastAsia" w:cstheme="minorEastAsia"/>
          <w:kern w:val="0"/>
          <w:sz w:val="24"/>
          <w:szCs w:val="24"/>
        </w:rPr>
        <w:t>室</w:t>
      </w:r>
    </w:p>
    <w:p>
      <w:pPr>
        <w:keepNext w:val="0"/>
        <w:keepLines w:val="0"/>
        <w:pageBreakBefore w:val="0"/>
        <w:kinsoku/>
        <w:wordWrap/>
        <w:overflowPunct/>
        <w:topLinePunct w:val="0"/>
        <w:bidi w:val="0"/>
        <w:snapToGrid/>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七、联系方式：</w:t>
      </w:r>
    </w:p>
    <w:p>
      <w:pPr>
        <w:keepNext w:val="0"/>
        <w:keepLines w:val="0"/>
        <w:pageBreakBefore w:val="0"/>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现场勘查：联 系 人：宇  工       联系电话：0551-63633648</w:t>
      </w:r>
    </w:p>
    <w:p>
      <w:pPr>
        <w:keepNext w:val="0"/>
        <w:keepLines w:val="0"/>
        <w:pageBreakBefore w:val="0"/>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资格预审：联 系 人：朱  工</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 xml:space="preserve">   联系电话：0551-65771025</w:t>
      </w:r>
    </w:p>
    <w:p>
      <w:pPr>
        <w:spacing w:line="220" w:lineRule="atLeast"/>
        <w:rPr>
          <w:sz w:val="36"/>
          <w:szCs w:val="36"/>
          <w:highlight w:val="yellow"/>
        </w:rPr>
      </w:pPr>
    </w:p>
    <w:p>
      <w:pPr>
        <w:pStyle w:val="2"/>
        <w:numPr>
          <w:ilvl w:val="0"/>
          <w:numId w:val="0"/>
        </w:numPr>
      </w:pPr>
      <w:bookmarkStart w:id="1" w:name="_Toc29394976"/>
      <w:bookmarkStart w:id="2" w:name="_Toc486433785"/>
      <w:r>
        <w:rPr>
          <w:rFonts w:hint="eastAsia"/>
        </w:rPr>
        <w:t>第二章 投标人须知前附表</w:t>
      </w:r>
      <w:bookmarkEnd w:id="1"/>
      <w:bookmarkEnd w:id="2"/>
    </w:p>
    <w:p/>
    <w:tbl>
      <w:tblPr>
        <w:tblStyle w:val="24"/>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686"/>
        <w:gridCol w:w="6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宋体" w:hAnsi="宋体"/>
                <w:b/>
                <w:sz w:val="24"/>
              </w:rPr>
            </w:pPr>
            <w:r>
              <w:rPr>
                <w:rFonts w:hint="eastAsia" w:ascii="宋体" w:hAnsi="宋体"/>
                <w:b/>
                <w:sz w:val="24"/>
              </w:rPr>
              <w:t>序号</w:t>
            </w:r>
          </w:p>
        </w:tc>
        <w:tc>
          <w:tcPr>
            <w:tcW w:w="1686" w:type="dxa"/>
            <w:vAlign w:val="center"/>
          </w:tcPr>
          <w:p>
            <w:pPr>
              <w:jc w:val="center"/>
              <w:rPr>
                <w:rFonts w:ascii="宋体" w:hAnsi="宋体"/>
                <w:b/>
                <w:sz w:val="24"/>
              </w:rPr>
            </w:pPr>
            <w:r>
              <w:rPr>
                <w:rFonts w:hint="eastAsia" w:ascii="宋体" w:hAnsi="宋体"/>
                <w:b/>
                <w:sz w:val="24"/>
              </w:rPr>
              <w:t>内容</w:t>
            </w:r>
          </w:p>
        </w:tc>
        <w:tc>
          <w:tcPr>
            <w:tcW w:w="6793" w:type="dxa"/>
            <w:vAlign w:val="center"/>
          </w:tcPr>
          <w:p>
            <w:pPr>
              <w:pStyle w:val="43"/>
              <w:widowControl w:val="0"/>
              <w:spacing w:before="0" w:beforeAutospacing="0" w:after="0" w:afterAutospacing="0"/>
              <w:rPr>
                <w:bCs w:val="0"/>
                <w:kern w:val="2"/>
                <w:sz w:val="24"/>
                <w:szCs w:val="20"/>
              </w:rPr>
            </w:pPr>
            <w:r>
              <w:rPr>
                <w:rFonts w:hint="eastAsia"/>
                <w:bCs w:val="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pStyle w:val="44"/>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w:t>
            </w:r>
          </w:p>
        </w:tc>
        <w:tc>
          <w:tcPr>
            <w:tcW w:w="1686" w:type="dxa"/>
            <w:vAlign w:val="center"/>
          </w:tcPr>
          <w:p>
            <w:pPr>
              <w:jc w:val="center"/>
              <w:rPr>
                <w:rFonts w:ascii="宋体" w:hAnsi="宋体"/>
                <w:bCs/>
                <w:sz w:val="24"/>
              </w:rPr>
            </w:pPr>
            <w:r>
              <w:rPr>
                <w:rFonts w:hint="eastAsia" w:ascii="宋体" w:hAnsi="宋体"/>
                <w:bCs/>
                <w:sz w:val="24"/>
              </w:rPr>
              <w:t>招标人</w:t>
            </w:r>
          </w:p>
        </w:tc>
        <w:tc>
          <w:tcPr>
            <w:tcW w:w="6793" w:type="dxa"/>
            <w:vAlign w:val="center"/>
          </w:tcPr>
          <w:p>
            <w:pPr>
              <w:pStyle w:val="43"/>
              <w:widowControl w:val="0"/>
              <w:spacing w:before="0" w:beforeAutospacing="0" w:after="0" w:afterAutospacing="0"/>
              <w:jc w:val="both"/>
              <w:rPr>
                <w:b w:val="0"/>
                <w:kern w:val="2"/>
                <w:sz w:val="24"/>
                <w:szCs w:val="20"/>
              </w:rPr>
            </w:pPr>
            <w:r>
              <w:rPr>
                <w:rFonts w:hint="eastAsia"/>
                <w:b w:val="0"/>
                <w:kern w:val="2"/>
                <w:sz w:val="24"/>
                <w:szCs w:val="20"/>
              </w:rPr>
              <w:t>合肥百货大楼集团商业大厦有限责任公司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宋体" w:hAnsi="宋体"/>
                <w:bCs/>
                <w:sz w:val="24"/>
              </w:rPr>
            </w:pPr>
            <w:r>
              <w:rPr>
                <w:rFonts w:hint="eastAsia" w:ascii="宋体" w:hAnsi="宋体"/>
                <w:bCs/>
                <w:sz w:val="24"/>
              </w:rPr>
              <w:t>2</w:t>
            </w:r>
          </w:p>
        </w:tc>
        <w:tc>
          <w:tcPr>
            <w:tcW w:w="1686" w:type="dxa"/>
            <w:vAlign w:val="center"/>
          </w:tcPr>
          <w:p>
            <w:pPr>
              <w:jc w:val="center"/>
              <w:rPr>
                <w:rFonts w:ascii="宋体" w:hAnsi="宋体"/>
                <w:sz w:val="24"/>
              </w:rPr>
            </w:pPr>
            <w:r>
              <w:rPr>
                <w:rFonts w:hint="eastAsia" w:ascii="宋体" w:hAnsi="宋体"/>
                <w:sz w:val="24"/>
              </w:rPr>
              <w:t>项目名称</w:t>
            </w:r>
          </w:p>
        </w:tc>
        <w:tc>
          <w:tcPr>
            <w:tcW w:w="6793" w:type="dxa"/>
            <w:vAlign w:val="center"/>
          </w:tcPr>
          <w:p>
            <w:pPr>
              <w:pStyle w:val="43"/>
              <w:widowControl w:val="0"/>
              <w:spacing w:before="0" w:beforeAutospacing="0" w:after="0" w:afterAutospacing="0"/>
              <w:jc w:val="both"/>
              <w:rPr>
                <w:b w:val="0"/>
                <w:bCs w:val="0"/>
                <w:sz w:val="24"/>
                <w:szCs w:val="18"/>
              </w:rPr>
            </w:pPr>
            <w:r>
              <w:rPr>
                <w:rFonts w:hint="eastAsia"/>
                <w:b w:val="0"/>
                <w:bCs w:val="0"/>
                <w:sz w:val="24"/>
              </w:rPr>
              <w:t>商业大厦弱电系统升级改造工程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宋体" w:hAnsi="宋体"/>
                <w:bCs/>
                <w:sz w:val="24"/>
              </w:rPr>
            </w:pPr>
            <w:r>
              <w:rPr>
                <w:rFonts w:hint="eastAsia" w:ascii="宋体" w:hAnsi="宋体"/>
                <w:bCs/>
                <w:sz w:val="24"/>
              </w:rPr>
              <w:t>3</w:t>
            </w:r>
          </w:p>
        </w:tc>
        <w:tc>
          <w:tcPr>
            <w:tcW w:w="1686" w:type="dxa"/>
            <w:vAlign w:val="center"/>
          </w:tcPr>
          <w:p>
            <w:pPr>
              <w:jc w:val="center"/>
              <w:rPr>
                <w:rFonts w:ascii="宋体" w:hAnsi="宋体"/>
                <w:sz w:val="24"/>
              </w:rPr>
            </w:pPr>
            <w:r>
              <w:rPr>
                <w:rFonts w:hint="eastAsia" w:ascii="宋体" w:hAnsi="宋体"/>
                <w:sz w:val="24"/>
              </w:rPr>
              <w:t>项目编号</w:t>
            </w:r>
          </w:p>
        </w:tc>
        <w:tc>
          <w:tcPr>
            <w:tcW w:w="6793" w:type="dxa"/>
            <w:vAlign w:val="center"/>
          </w:tcPr>
          <w:p>
            <w:pPr>
              <w:pStyle w:val="43"/>
              <w:widowControl w:val="0"/>
              <w:spacing w:before="0" w:beforeAutospacing="0" w:after="0" w:afterAutospacing="0"/>
              <w:jc w:val="both"/>
              <w:rPr>
                <w:rFonts w:hint="eastAsia" w:eastAsia="宋体"/>
                <w:b w:val="0"/>
                <w:bCs w:val="0"/>
                <w:sz w:val="24"/>
                <w:szCs w:val="18"/>
                <w:lang w:eastAsia="zh-CN"/>
              </w:rPr>
            </w:pPr>
            <w:r>
              <w:rPr>
                <w:rFonts w:hint="eastAsia"/>
                <w:b w:val="0"/>
                <w:bCs w:val="0"/>
                <w:sz w:val="24"/>
                <w:szCs w:val="18"/>
              </w:rPr>
              <w:t>HBZ-200</w:t>
            </w:r>
            <w:r>
              <w:rPr>
                <w:rFonts w:hint="eastAsia"/>
                <w:b w:val="0"/>
                <w:bCs w:val="0"/>
                <w:sz w:val="24"/>
                <w:szCs w:val="18"/>
                <w:lang w:val="en-US" w:eastAsia="zh-CN"/>
              </w:rPr>
              <w:t>25</w:t>
            </w:r>
            <w:r>
              <w:rPr>
                <w:rFonts w:hint="eastAsia"/>
                <w:b w:val="0"/>
                <w:bCs w:val="0"/>
                <w:sz w:val="24"/>
                <w:szCs w:val="18"/>
              </w:rPr>
              <w:t>-SYDS0</w:t>
            </w:r>
            <w:r>
              <w:rPr>
                <w:rFonts w:hint="eastAsia"/>
                <w:b w:val="0"/>
                <w:bCs w:val="0"/>
                <w:sz w:val="24"/>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宋体" w:hAnsi="宋体"/>
                <w:bCs/>
                <w:sz w:val="24"/>
              </w:rPr>
            </w:pPr>
            <w:r>
              <w:rPr>
                <w:rFonts w:hint="eastAsia" w:ascii="宋体" w:hAnsi="宋体"/>
                <w:bCs/>
                <w:sz w:val="24"/>
              </w:rPr>
              <w:t>4</w:t>
            </w:r>
          </w:p>
        </w:tc>
        <w:tc>
          <w:tcPr>
            <w:tcW w:w="1686" w:type="dxa"/>
            <w:vAlign w:val="center"/>
          </w:tcPr>
          <w:p>
            <w:pPr>
              <w:jc w:val="center"/>
              <w:rPr>
                <w:rFonts w:ascii="宋体" w:hAnsi="宋体"/>
                <w:sz w:val="24"/>
              </w:rPr>
            </w:pPr>
            <w:r>
              <w:rPr>
                <w:rFonts w:hint="eastAsia" w:ascii="宋体" w:hAnsi="宋体"/>
                <w:sz w:val="24"/>
              </w:rPr>
              <w:t>项目性质</w:t>
            </w:r>
          </w:p>
        </w:tc>
        <w:tc>
          <w:tcPr>
            <w:tcW w:w="6793" w:type="dxa"/>
            <w:vAlign w:val="center"/>
          </w:tcPr>
          <w:p>
            <w:pPr>
              <w:pStyle w:val="43"/>
              <w:widowControl w:val="0"/>
              <w:spacing w:before="0" w:beforeAutospacing="0" w:after="0" w:afterAutospacing="0"/>
              <w:jc w:val="both"/>
              <w:rPr>
                <w:b w:val="0"/>
                <w:bCs w:val="0"/>
                <w:sz w:val="24"/>
              </w:rPr>
            </w:pPr>
            <w:r>
              <w:rPr>
                <w:rFonts w:hint="eastAsia"/>
                <w:b w:val="0"/>
                <w:bCs w:val="0"/>
                <w:sz w:val="24"/>
              </w:rPr>
              <w:t>货物类</w:t>
            </w:r>
            <w:r>
              <w:rPr>
                <w:rFonts w:hint="eastAsia"/>
                <w:b w:val="0"/>
                <w:bCs w:val="0"/>
                <w:sz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宋体" w:hAnsi="宋体"/>
                <w:bCs/>
                <w:sz w:val="24"/>
              </w:rPr>
            </w:pPr>
            <w:r>
              <w:rPr>
                <w:rFonts w:hint="eastAsia" w:ascii="宋体" w:hAnsi="宋体"/>
                <w:bCs/>
                <w:sz w:val="24"/>
              </w:rPr>
              <w:t>5</w:t>
            </w:r>
          </w:p>
        </w:tc>
        <w:tc>
          <w:tcPr>
            <w:tcW w:w="1686" w:type="dxa"/>
            <w:vAlign w:val="center"/>
          </w:tcPr>
          <w:p>
            <w:pPr>
              <w:jc w:val="center"/>
              <w:rPr>
                <w:rFonts w:ascii="宋体" w:hAnsi="宋体"/>
                <w:sz w:val="24"/>
              </w:rPr>
            </w:pPr>
            <w:r>
              <w:rPr>
                <w:rFonts w:hint="eastAsia" w:ascii="宋体" w:hAnsi="宋体"/>
                <w:sz w:val="24"/>
              </w:rPr>
              <w:t>资金来源</w:t>
            </w:r>
          </w:p>
        </w:tc>
        <w:tc>
          <w:tcPr>
            <w:tcW w:w="6793" w:type="dxa"/>
            <w:vAlign w:val="center"/>
          </w:tcPr>
          <w:p>
            <w:pPr>
              <w:pStyle w:val="43"/>
              <w:widowControl w:val="0"/>
              <w:spacing w:before="0" w:beforeAutospacing="0" w:after="0" w:afterAutospacing="0"/>
              <w:jc w:val="both"/>
              <w:rPr>
                <w:b w:val="0"/>
                <w:bCs w:val="0"/>
                <w:sz w:val="24"/>
              </w:rPr>
            </w:pPr>
            <w:r>
              <w:rPr>
                <w:rFonts w:hint="eastAsia"/>
                <w:b w:val="0"/>
                <w:bCs w:val="0"/>
                <w:sz w:val="24"/>
              </w:rPr>
              <w:t xml:space="preserve">□财政投资   </w:t>
            </w:r>
            <w:r>
              <w:rPr>
                <w:rFonts w:hint="eastAsia"/>
                <w:b w:val="0"/>
                <w:bCs w:val="0"/>
                <w:sz w:val="24"/>
              </w:rPr>
              <w:sym w:font="Wingdings" w:char="F0FE"/>
            </w:r>
            <w:r>
              <w:rPr>
                <w:rFonts w:hint="eastAsia"/>
                <w:b w:val="0"/>
                <w:bCs w:val="0"/>
                <w:sz w:val="24"/>
              </w:rPr>
              <w:t>招标人自筹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500" w:lineRule="exact"/>
              <w:jc w:val="center"/>
              <w:rPr>
                <w:rFonts w:ascii="宋体" w:hAnsi="宋体"/>
                <w:sz w:val="24"/>
              </w:rPr>
            </w:pPr>
            <w:r>
              <w:rPr>
                <w:rFonts w:hint="eastAsia" w:ascii="宋体" w:hAnsi="宋体"/>
                <w:sz w:val="24"/>
              </w:rPr>
              <w:t>6</w:t>
            </w:r>
          </w:p>
        </w:tc>
        <w:tc>
          <w:tcPr>
            <w:tcW w:w="1686" w:type="dxa"/>
          </w:tcPr>
          <w:p>
            <w:pPr>
              <w:spacing w:line="500" w:lineRule="exact"/>
              <w:jc w:val="center"/>
              <w:rPr>
                <w:rFonts w:ascii="宋体" w:hAnsi="宋体"/>
                <w:sz w:val="24"/>
                <w:lang w:val="zh-CN"/>
              </w:rPr>
            </w:pPr>
            <w:r>
              <w:rPr>
                <w:rFonts w:hint="eastAsia" w:ascii="宋体" w:hAnsi="宋体"/>
                <w:sz w:val="24"/>
              </w:rPr>
              <w:t>标段划分</w:t>
            </w:r>
          </w:p>
        </w:tc>
        <w:tc>
          <w:tcPr>
            <w:tcW w:w="6793" w:type="dxa"/>
            <w:vAlign w:val="center"/>
          </w:tcPr>
          <w:p>
            <w:pPr>
              <w:spacing w:line="500" w:lineRule="exact"/>
              <w:ind w:left="841" w:hanging="841"/>
              <w:rPr>
                <w:rFonts w:ascii="宋体" w:hAnsi="宋体"/>
                <w:bCs/>
                <w:sz w:val="24"/>
              </w:rPr>
            </w:pPr>
            <w:r>
              <w:rPr>
                <w:rFonts w:hint="eastAsia"/>
                <w:b/>
                <w:bCs/>
                <w:sz w:val="24"/>
              </w:rPr>
              <w:sym w:font="Wingdings" w:char="F0FE"/>
            </w:r>
            <w:r>
              <w:rPr>
                <w:rFonts w:hint="eastAsia" w:ascii="宋体" w:hAnsi="宋体"/>
                <w:sz w:val="24"/>
              </w:rPr>
              <w:t>不分标段   □分为  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6" w:type="dxa"/>
            <w:vAlign w:val="center"/>
          </w:tcPr>
          <w:p>
            <w:pPr>
              <w:spacing w:line="500" w:lineRule="exact"/>
              <w:ind w:right="102"/>
              <w:jc w:val="center"/>
              <w:rPr>
                <w:rFonts w:ascii="宋体" w:hAnsi="宋体"/>
                <w:sz w:val="24"/>
                <w:lang w:val="zh-CN"/>
              </w:rPr>
            </w:pPr>
            <w:r>
              <w:rPr>
                <w:rFonts w:hint="eastAsia" w:ascii="宋体" w:hAnsi="宋体"/>
                <w:sz w:val="24"/>
                <w:lang w:val="zh-CN"/>
              </w:rPr>
              <w:t>7</w:t>
            </w:r>
          </w:p>
        </w:tc>
        <w:tc>
          <w:tcPr>
            <w:tcW w:w="1686" w:type="dxa"/>
            <w:vAlign w:val="center"/>
          </w:tcPr>
          <w:p>
            <w:pPr>
              <w:spacing w:line="500" w:lineRule="exact"/>
              <w:jc w:val="center"/>
              <w:rPr>
                <w:rFonts w:ascii="宋体" w:hAnsi="宋体"/>
                <w:sz w:val="24"/>
              </w:rPr>
            </w:pPr>
            <w:r>
              <w:rPr>
                <w:rFonts w:hint="eastAsia" w:ascii="宋体" w:hAnsi="宋体"/>
                <w:sz w:val="24"/>
                <w:lang w:val="zh-CN"/>
              </w:rPr>
              <w:t>付款方式</w:t>
            </w:r>
          </w:p>
        </w:tc>
        <w:tc>
          <w:tcPr>
            <w:tcW w:w="6793" w:type="dxa"/>
          </w:tcPr>
          <w:p>
            <w:pPr>
              <w:pStyle w:val="45"/>
              <w:spacing w:line="500" w:lineRule="exact"/>
              <w:rPr>
                <w:rFonts w:ascii="宋体" w:hAnsi="宋体"/>
                <w:u w:val="single"/>
                <w:lang w:val="zh-CN"/>
              </w:rPr>
            </w:pPr>
            <w:r>
              <w:rPr>
                <w:rFonts w:hint="eastAsia" w:ascii="宋体" w:hAnsi="宋体"/>
                <w:bCs/>
              </w:rPr>
              <w:t>付款方式：</w:t>
            </w:r>
            <w:r>
              <w:rPr>
                <w:rFonts w:hint="eastAsia" w:ascii="宋体" w:hAnsi="宋体"/>
                <w:b/>
                <w:highlight w:val="none"/>
                <w:u w:val="single"/>
                <w:lang w:val="zh-CN"/>
              </w:rPr>
              <w:t>详见合同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ind w:right="102"/>
              <w:jc w:val="center"/>
              <w:rPr>
                <w:rFonts w:ascii="宋体" w:hAnsi="宋体"/>
                <w:sz w:val="24"/>
                <w:lang w:val="zh-CN"/>
              </w:rPr>
            </w:pPr>
            <w:r>
              <w:rPr>
                <w:rFonts w:hint="eastAsia" w:ascii="宋体" w:hAnsi="宋体"/>
                <w:sz w:val="24"/>
                <w:lang w:val="zh-CN"/>
              </w:rPr>
              <w:t>8</w:t>
            </w:r>
          </w:p>
        </w:tc>
        <w:tc>
          <w:tcPr>
            <w:tcW w:w="1686" w:type="dxa"/>
            <w:vAlign w:val="center"/>
          </w:tcPr>
          <w:p>
            <w:pPr>
              <w:spacing w:line="500" w:lineRule="exact"/>
              <w:jc w:val="center"/>
              <w:rPr>
                <w:rFonts w:ascii="宋体" w:hAnsi="宋体"/>
                <w:sz w:val="24"/>
              </w:rPr>
            </w:pPr>
            <w:r>
              <w:rPr>
                <w:rFonts w:hint="eastAsia" w:ascii="宋体" w:hAnsi="宋体"/>
                <w:sz w:val="24"/>
              </w:rPr>
              <w:t>联合体投标</w:t>
            </w:r>
          </w:p>
        </w:tc>
        <w:tc>
          <w:tcPr>
            <w:tcW w:w="6793" w:type="dxa"/>
            <w:vAlign w:val="center"/>
          </w:tcPr>
          <w:p>
            <w:pPr>
              <w:spacing w:line="500" w:lineRule="exact"/>
              <w:rPr>
                <w:rFonts w:ascii="宋体" w:hAnsi="宋体"/>
                <w:sz w:val="24"/>
              </w:rPr>
            </w:pPr>
            <w:r>
              <w:rPr>
                <w:rFonts w:hint="eastAsia" w:ascii="宋体" w:hAnsi="宋体"/>
                <w:sz w:val="24"/>
              </w:rPr>
              <w:t>□</w:t>
            </w:r>
            <w:r>
              <w:rPr>
                <w:rFonts w:hint="eastAsia" w:ascii="宋体" w:hAnsi="宋体"/>
                <w:sz w:val="24"/>
                <w:lang w:val="zh-CN"/>
              </w:rPr>
              <w:t xml:space="preserve">允许  </w:t>
            </w:r>
            <w:r>
              <w:rPr>
                <w:rFonts w:hint="eastAsia"/>
                <w:b/>
                <w:bCs/>
                <w:sz w:val="24"/>
              </w:rPr>
              <w:sym w:font="Wingdings" w:char="F0FE"/>
            </w:r>
            <w:r>
              <w:rPr>
                <w:rFonts w:hint="eastAsia" w:ascii="宋体" w:hAnsi="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jc w:val="center"/>
              <w:rPr>
                <w:rFonts w:ascii="宋体" w:hAnsi="宋体"/>
                <w:sz w:val="24"/>
              </w:rPr>
            </w:pPr>
            <w:r>
              <w:rPr>
                <w:rFonts w:hint="eastAsia" w:ascii="宋体" w:hAnsi="宋体"/>
                <w:sz w:val="24"/>
              </w:rPr>
              <w:t>9</w:t>
            </w:r>
          </w:p>
        </w:tc>
        <w:tc>
          <w:tcPr>
            <w:tcW w:w="1686" w:type="dxa"/>
            <w:vAlign w:val="center"/>
          </w:tcPr>
          <w:p>
            <w:pPr>
              <w:spacing w:line="500" w:lineRule="exact"/>
              <w:jc w:val="center"/>
              <w:rPr>
                <w:rFonts w:ascii="宋体" w:hAnsi="宋体"/>
                <w:sz w:val="24"/>
              </w:rPr>
            </w:pPr>
            <w:r>
              <w:rPr>
                <w:rFonts w:hint="eastAsia" w:ascii="宋体" w:hAnsi="宋体"/>
                <w:sz w:val="24"/>
              </w:rPr>
              <w:t>投标有效期</w:t>
            </w:r>
          </w:p>
        </w:tc>
        <w:tc>
          <w:tcPr>
            <w:tcW w:w="6793" w:type="dxa"/>
            <w:vAlign w:val="center"/>
          </w:tcPr>
          <w:p>
            <w:pPr>
              <w:spacing w:line="500" w:lineRule="exact"/>
              <w:rPr>
                <w:rFonts w:ascii="宋体" w:hAnsi="宋体"/>
                <w:sz w:val="24"/>
              </w:rPr>
            </w:pPr>
            <w:r>
              <w:rPr>
                <w:rFonts w:hint="eastAsia" w:ascii="宋体" w:hAnsi="宋体"/>
                <w:sz w:val="24"/>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jc w:val="center"/>
              <w:rPr>
                <w:rFonts w:ascii="宋体" w:hAnsi="宋体"/>
                <w:sz w:val="24"/>
              </w:rPr>
            </w:pPr>
            <w:r>
              <w:rPr>
                <w:rFonts w:hint="eastAsia" w:ascii="宋体" w:hAnsi="宋体"/>
                <w:sz w:val="24"/>
              </w:rPr>
              <w:t>10</w:t>
            </w:r>
          </w:p>
        </w:tc>
        <w:tc>
          <w:tcPr>
            <w:tcW w:w="1686" w:type="dxa"/>
          </w:tcPr>
          <w:p>
            <w:pPr>
              <w:spacing w:line="500" w:lineRule="exact"/>
              <w:jc w:val="center"/>
              <w:rPr>
                <w:rFonts w:ascii="宋体" w:hAnsi="宋体"/>
                <w:sz w:val="24"/>
              </w:rPr>
            </w:pPr>
            <w:r>
              <w:rPr>
                <w:rFonts w:hint="eastAsia" w:ascii="宋体" w:hAnsi="宋体"/>
                <w:sz w:val="24"/>
              </w:rPr>
              <w:t>供货及安装（施工）地点</w:t>
            </w:r>
          </w:p>
        </w:tc>
        <w:tc>
          <w:tcPr>
            <w:tcW w:w="6793" w:type="dxa"/>
            <w:vAlign w:val="center"/>
          </w:tcPr>
          <w:p>
            <w:pPr>
              <w:spacing w:line="440" w:lineRule="exact"/>
              <w:rPr>
                <w:rFonts w:ascii="宋体" w:hAnsi="宋体"/>
                <w:sz w:val="24"/>
              </w:rPr>
            </w:pPr>
            <w:r>
              <w:rPr>
                <w:rFonts w:hint="eastAsia" w:ascii="宋体" w:hAnsi="宋体"/>
                <w:sz w:val="24"/>
              </w:rPr>
              <w:t>合肥市金寨路1168号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500" w:lineRule="exact"/>
              <w:jc w:val="center"/>
              <w:rPr>
                <w:rFonts w:ascii="宋体" w:hAnsi="宋体"/>
                <w:sz w:val="24"/>
              </w:rPr>
            </w:pPr>
            <w:r>
              <w:rPr>
                <w:rFonts w:hint="eastAsia" w:ascii="宋体" w:hAnsi="宋体"/>
                <w:sz w:val="24"/>
              </w:rPr>
              <w:t>11</w:t>
            </w:r>
          </w:p>
        </w:tc>
        <w:tc>
          <w:tcPr>
            <w:tcW w:w="1686" w:type="dxa"/>
            <w:vAlign w:val="center"/>
          </w:tcPr>
          <w:p>
            <w:pPr>
              <w:spacing w:line="500" w:lineRule="exact"/>
              <w:jc w:val="center"/>
              <w:rPr>
                <w:rFonts w:ascii="宋体" w:hAnsi="宋体"/>
                <w:sz w:val="24"/>
              </w:rPr>
            </w:pPr>
            <w:r>
              <w:rPr>
                <w:rFonts w:hint="eastAsia" w:ascii="宋体" w:hAnsi="宋体"/>
                <w:sz w:val="24"/>
              </w:rPr>
              <w:t>完工期限</w:t>
            </w:r>
          </w:p>
        </w:tc>
        <w:tc>
          <w:tcPr>
            <w:tcW w:w="6793" w:type="dxa"/>
            <w:vAlign w:val="center"/>
          </w:tcPr>
          <w:p>
            <w:pPr>
              <w:spacing w:line="500" w:lineRule="exact"/>
              <w:rPr>
                <w:rFonts w:ascii="宋体" w:hAnsi="宋体"/>
                <w:sz w:val="24"/>
              </w:rPr>
            </w:pPr>
            <w:r>
              <w:rPr>
                <w:rFonts w:hint="eastAsia" w:ascii="宋体" w:hAnsi="宋体"/>
                <w:sz w:val="24"/>
              </w:rPr>
              <w:t>合同签订后</w:t>
            </w:r>
            <w:r>
              <w:rPr>
                <w:rFonts w:hint="eastAsia" w:ascii="宋体" w:hAnsi="宋体"/>
                <w:sz w:val="24"/>
                <w:u w:val="single"/>
              </w:rPr>
              <w:t xml:space="preserve"> 210个日历天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hAnsi="宋体"/>
                <w:sz w:val="24"/>
              </w:rPr>
            </w:pPr>
            <w:r>
              <w:rPr>
                <w:rFonts w:hint="eastAsia" w:ascii="宋体" w:hAnsi="宋体"/>
                <w:sz w:val="24"/>
              </w:rPr>
              <w:t>12</w:t>
            </w:r>
          </w:p>
        </w:tc>
        <w:tc>
          <w:tcPr>
            <w:tcW w:w="1686" w:type="dxa"/>
            <w:vAlign w:val="center"/>
          </w:tcPr>
          <w:p>
            <w:pPr>
              <w:spacing w:line="500" w:lineRule="exact"/>
              <w:jc w:val="center"/>
              <w:rPr>
                <w:rFonts w:ascii="宋体" w:hAnsi="宋体"/>
                <w:sz w:val="24"/>
                <w:lang w:val="zh-CN"/>
              </w:rPr>
            </w:pPr>
            <w:r>
              <w:rPr>
                <w:rFonts w:hint="eastAsia" w:ascii="宋体" w:hAnsi="宋体"/>
                <w:sz w:val="24"/>
              </w:rPr>
              <w:t>投标保证金金额</w:t>
            </w:r>
          </w:p>
        </w:tc>
        <w:tc>
          <w:tcPr>
            <w:tcW w:w="6793" w:type="dxa"/>
            <w:vAlign w:val="center"/>
          </w:tcPr>
          <w:p>
            <w:pPr>
              <w:spacing w:line="500" w:lineRule="exact"/>
              <w:rPr>
                <w:rFonts w:ascii="宋体" w:hAnsi="宋体"/>
                <w:sz w:val="24"/>
                <w:lang w:val="zh-CN"/>
              </w:rPr>
            </w:pPr>
            <w:r>
              <w:rPr>
                <w:rFonts w:hint="eastAsia" w:ascii="宋体" w:hAnsi="宋体"/>
                <w:sz w:val="24"/>
              </w:rPr>
              <w:t>人民币</w:t>
            </w:r>
            <w:r>
              <w:rPr>
                <w:rFonts w:hint="eastAsia" w:ascii="宋体" w:hAnsi="宋体"/>
                <w:b/>
                <w:sz w:val="24"/>
                <w:u w:val="single"/>
              </w:rPr>
              <w:t>贰万</w:t>
            </w:r>
            <w:r>
              <w:rPr>
                <w:rFonts w:hint="eastAsia" w:ascii="宋体" w:hAnsi="宋体"/>
                <w:sz w:val="24"/>
              </w:rPr>
              <w:t>元，投标保证金应当在投标截止时间前足额到达本次招标公告指定账号，且应当从投标人基本账号转出。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hAnsi="宋体"/>
                <w:sz w:val="24"/>
              </w:rPr>
            </w:pPr>
            <w:r>
              <w:rPr>
                <w:rFonts w:hint="eastAsia" w:ascii="宋体" w:hAnsi="宋体"/>
                <w:sz w:val="24"/>
              </w:rPr>
              <w:t>13</w:t>
            </w:r>
          </w:p>
        </w:tc>
        <w:tc>
          <w:tcPr>
            <w:tcW w:w="1686" w:type="dxa"/>
            <w:vAlign w:val="center"/>
          </w:tcPr>
          <w:p>
            <w:pPr>
              <w:pStyle w:val="44"/>
              <w:pBdr>
                <w:bottom w:val="none" w:color="auto" w:sz="0" w:space="0"/>
              </w:pBdr>
              <w:tabs>
                <w:tab w:val="clear" w:pos="4153"/>
                <w:tab w:val="clear" w:pos="8306"/>
              </w:tabs>
              <w:adjustRightInd/>
              <w:spacing w:line="500" w:lineRule="exact"/>
              <w:textAlignment w:val="auto"/>
              <w:rPr>
                <w:rFonts w:ascii="宋体" w:hAnsi="宋体"/>
                <w:kern w:val="2"/>
              </w:rPr>
            </w:pPr>
            <w:r>
              <w:rPr>
                <w:rFonts w:hint="eastAsia" w:ascii="宋体" w:hAnsi="宋体"/>
                <w:kern w:val="2"/>
              </w:rPr>
              <w:t>投标保证金交纳账号</w:t>
            </w:r>
          </w:p>
        </w:tc>
        <w:tc>
          <w:tcPr>
            <w:tcW w:w="6793" w:type="dxa"/>
            <w:vAlign w:val="center"/>
          </w:tcPr>
          <w:p>
            <w:pPr>
              <w:spacing w:line="500" w:lineRule="exact"/>
              <w:rPr>
                <w:rFonts w:ascii="宋体" w:hAnsi="宋体"/>
                <w:sz w:val="24"/>
              </w:rPr>
            </w:pPr>
            <w:r>
              <w:rPr>
                <w:rFonts w:hint="eastAsia" w:ascii="宋体" w:hAnsi="宋体"/>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hAnsi="宋体"/>
                <w:sz w:val="24"/>
              </w:rPr>
            </w:pPr>
            <w:r>
              <w:rPr>
                <w:rFonts w:hint="eastAsia" w:ascii="宋体" w:hAnsi="宋体"/>
                <w:sz w:val="24"/>
              </w:rPr>
              <w:t>14</w:t>
            </w:r>
          </w:p>
        </w:tc>
        <w:tc>
          <w:tcPr>
            <w:tcW w:w="1686" w:type="dxa"/>
            <w:vAlign w:val="center"/>
          </w:tcPr>
          <w:p>
            <w:pPr>
              <w:pStyle w:val="44"/>
              <w:pBdr>
                <w:bottom w:val="none" w:color="auto" w:sz="0" w:space="0"/>
              </w:pBdr>
              <w:tabs>
                <w:tab w:val="clear" w:pos="4153"/>
                <w:tab w:val="clear" w:pos="8306"/>
              </w:tabs>
              <w:adjustRightInd/>
              <w:spacing w:line="500" w:lineRule="exact"/>
              <w:textAlignment w:val="auto"/>
              <w:rPr>
                <w:rFonts w:ascii="宋体" w:hAnsi="宋体"/>
                <w:kern w:val="2"/>
              </w:rPr>
            </w:pPr>
            <w:r>
              <w:rPr>
                <w:rFonts w:hint="eastAsia" w:ascii="宋体" w:hAnsi="宋体"/>
                <w:lang w:val="zh-CN"/>
              </w:rPr>
              <w:t>免费质保期</w:t>
            </w:r>
          </w:p>
        </w:tc>
        <w:tc>
          <w:tcPr>
            <w:tcW w:w="6793" w:type="dxa"/>
            <w:vAlign w:val="center"/>
          </w:tcPr>
          <w:p>
            <w:pPr>
              <w:spacing w:line="500" w:lineRule="exact"/>
              <w:rPr>
                <w:rFonts w:ascii="宋体" w:hAnsi="宋体"/>
                <w:b/>
                <w:sz w:val="24"/>
              </w:rPr>
            </w:pPr>
            <w:r>
              <w:rPr>
                <w:rFonts w:hint="eastAsia" w:ascii="宋体" w:hAnsi="宋体"/>
                <w:sz w:val="24"/>
                <w:lang w:val="zh-CN"/>
              </w:rPr>
              <w:t>验收合格之日起</w:t>
            </w:r>
            <w:r>
              <w:rPr>
                <w:rFonts w:hint="eastAsia" w:ascii="宋体" w:hAnsi="宋体"/>
                <w:sz w:val="24"/>
                <w:u w:val="single"/>
              </w:rPr>
              <w:t xml:space="preserve"> 贰年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hAnsi="宋体"/>
                <w:sz w:val="24"/>
              </w:rPr>
            </w:pPr>
            <w:r>
              <w:rPr>
                <w:rFonts w:hint="eastAsia" w:ascii="宋体" w:hAnsi="宋体"/>
                <w:sz w:val="24"/>
              </w:rPr>
              <w:t>15</w:t>
            </w:r>
          </w:p>
        </w:tc>
        <w:tc>
          <w:tcPr>
            <w:tcW w:w="1686" w:type="dxa"/>
            <w:vAlign w:val="center"/>
          </w:tcPr>
          <w:p>
            <w:pPr>
              <w:spacing w:line="500" w:lineRule="exact"/>
              <w:jc w:val="center"/>
              <w:rPr>
                <w:rFonts w:ascii="宋体" w:hAnsi="宋体"/>
                <w:sz w:val="24"/>
              </w:rPr>
            </w:pPr>
            <w:r>
              <w:rPr>
                <w:rFonts w:hint="eastAsia" w:ascii="宋体" w:hAnsi="宋体"/>
                <w:bCs/>
                <w:sz w:val="24"/>
              </w:rPr>
              <w:t>答疑</w:t>
            </w:r>
          </w:p>
        </w:tc>
        <w:tc>
          <w:tcPr>
            <w:tcW w:w="6793" w:type="dxa"/>
            <w:vAlign w:val="center"/>
          </w:tcPr>
          <w:p>
            <w:pPr>
              <w:spacing w:line="500" w:lineRule="exact"/>
              <w:rPr>
                <w:rFonts w:ascii="宋体" w:hAnsi="宋体"/>
                <w:b/>
                <w:bCs/>
                <w:i/>
                <w:sz w:val="24"/>
              </w:rPr>
            </w:pPr>
            <w:r>
              <w:rPr>
                <w:rFonts w:hint="eastAsia" w:ascii="宋体" w:hAnsi="宋体"/>
                <w:b/>
                <w:bCs/>
                <w:sz w:val="24"/>
              </w:rPr>
              <w:t>发布招标公告三日内接受答疑（逾期不予受理）</w:t>
            </w:r>
          </w:p>
          <w:p>
            <w:pPr>
              <w:spacing w:line="500" w:lineRule="exact"/>
              <w:rPr>
                <w:rFonts w:ascii="宋体" w:hAnsi="宋体"/>
                <w:bCs/>
                <w:sz w:val="24"/>
              </w:rPr>
            </w:pPr>
            <w:r>
              <w:rPr>
                <w:rFonts w:hint="eastAsia" w:ascii="宋体" w:hAnsi="宋体"/>
                <w:b/>
                <w:sz w:val="24"/>
              </w:rPr>
              <w:t>投标人请注意：</w:t>
            </w:r>
            <w:r>
              <w:rPr>
                <w:rFonts w:hint="eastAsia" w:ascii="宋体" w:hAnsi="宋体"/>
                <w:bCs/>
                <w:sz w:val="24"/>
              </w:rPr>
              <w:t>我司对招标文件进行的澄清、更正或更改，将在网站上及时发布，该公告内容为招标文件的组成部分，对投标人具有同样约束力效力。投标人应主动上网查询。我司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hAnsi="宋体"/>
                <w:sz w:val="24"/>
              </w:rPr>
            </w:pPr>
            <w:r>
              <w:rPr>
                <w:rFonts w:hint="eastAsia" w:ascii="宋体" w:hAnsi="宋体"/>
                <w:sz w:val="24"/>
              </w:rPr>
              <w:t>16</w:t>
            </w:r>
          </w:p>
        </w:tc>
        <w:tc>
          <w:tcPr>
            <w:tcW w:w="1686" w:type="dxa"/>
            <w:vAlign w:val="center"/>
          </w:tcPr>
          <w:p>
            <w:pPr>
              <w:spacing w:line="500" w:lineRule="exact"/>
              <w:jc w:val="center"/>
              <w:rPr>
                <w:rFonts w:ascii="宋体" w:hAnsi="宋体"/>
                <w:bCs/>
                <w:sz w:val="24"/>
              </w:rPr>
            </w:pPr>
            <w:r>
              <w:rPr>
                <w:rFonts w:hint="eastAsia" w:ascii="宋体" w:hAnsi="宋体"/>
                <w:bCs/>
                <w:sz w:val="24"/>
              </w:rPr>
              <w:t>踏勘现场</w:t>
            </w:r>
          </w:p>
        </w:tc>
        <w:tc>
          <w:tcPr>
            <w:tcW w:w="6793" w:type="dxa"/>
            <w:vAlign w:val="center"/>
          </w:tcPr>
          <w:p>
            <w:pPr>
              <w:spacing w:line="500" w:lineRule="exact"/>
              <w:rPr>
                <w:rFonts w:ascii="宋体" w:hAnsi="宋体"/>
                <w:bCs/>
                <w:sz w:val="24"/>
              </w:rPr>
            </w:pPr>
            <w:r>
              <w:rPr>
                <w:rFonts w:hint="eastAsia"/>
                <w:b/>
                <w:bCs/>
                <w:sz w:val="24"/>
              </w:rPr>
              <w:sym w:font="Wingdings" w:char="F0FE"/>
            </w:r>
            <w:r>
              <w:rPr>
                <w:rFonts w:hint="eastAsia" w:ascii="宋体" w:hAnsi="宋体"/>
                <w:bCs/>
                <w:sz w:val="24"/>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hAnsi="宋体"/>
                <w:sz w:val="24"/>
              </w:rPr>
            </w:pPr>
            <w:r>
              <w:rPr>
                <w:rFonts w:hint="eastAsia" w:ascii="宋体" w:hAnsi="宋体"/>
                <w:sz w:val="24"/>
              </w:rPr>
              <w:t>17</w:t>
            </w:r>
          </w:p>
        </w:tc>
        <w:tc>
          <w:tcPr>
            <w:tcW w:w="1686" w:type="dxa"/>
            <w:vAlign w:val="center"/>
          </w:tcPr>
          <w:p>
            <w:pPr>
              <w:spacing w:line="500" w:lineRule="exact"/>
              <w:jc w:val="center"/>
              <w:rPr>
                <w:rFonts w:ascii="宋体" w:hAnsi="宋体"/>
                <w:sz w:val="24"/>
              </w:rPr>
            </w:pPr>
            <w:r>
              <w:rPr>
                <w:rFonts w:hint="eastAsia" w:ascii="宋体" w:hAnsi="宋体"/>
                <w:sz w:val="24"/>
              </w:rPr>
              <w:t>投标文件份数及要求</w:t>
            </w:r>
          </w:p>
        </w:tc>
        <w:tc>
          <w:tcPr>
            <w:tcW w:w="6793" w:type="dxa"/>
            <w:vAlign w:val="center"/>
          </w:tcPr>
          <w:p>
            <w:pPr>
              <w:spacing w:line="500" w:lineRule="exact"/>
              <w:rPr>
                <w:rFonts w:ascii="宋体" w:hAnsi="宋体"/>
                <w:sz w:val="24"/>
              </w:rPr>
            </w:pPr>
            <w:r>
              <w:rPr>
                <w:rFonts w:hint="eastAsia" w:ascii="宋体" w:hAnsi="宋体"/>
                <w:bCs/>
                <w:sz w:val="24"/>
              </w:rPr>
              <w:t>详见招标文件第三章第二条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ascii="宋体" w:hAnsi="宋体"/>
                <w:sz w:val="24"/>
              </w:rPr>
            </w:pPr>
            <w:r>
              <w:rPr>
                <w:rFonts w:hint="eastAsia" w:ascii="宋体" w:hAnsi="宋体"/>
                <w:sz w:val="24"/>
              </w:rPr>
              <w:t>18</w:t>
            </w:r>
          </w:p>
        </w:tc>
        <w:tc>
          <w:tcPr>
            <w:tcW w:w="1686" w:type="dxa"/>
            <w:vAlign w:val="center"/>
          </w:tcPr>
          <w:p>
            <w:pPr>
              <w:spacing w:line="500" w:lineRule="exact"/>
              <w:jc w:val="center"/>
              <w:rPr>
                <w:rFonts w:ascii="宋体" w:hAnsi="宋体"/>
                <w:bCs/>
                <w:sz w:val="24"/>
              </w:rPr>
            </w:pPr>
            <w:r>
              <w:rPr>
                <w:rFonts w:hint="eastAsia" w:ascii="宋体" w:hAnsi="宋体"/>
                <w:sz w:val="24"/>
              </w:rPr>
              <w:t>开标时间及地点</w:t>
            </w:r>
          </w:p>
        </w:tc>
        <w:tc>
          <w:tcPr>
            <w:tcW w:w="6793" w:type="dxa"/>
            <w:vAlign w:val="center"/>
          </w:tcPr>
          <w:p>
            <w:pPr>
              <w:spacing w:line="500" w:lineRule="exact"/>
              <w:rPr>
                <w:rFonts w:ascii="宋体" w:hAnsi="宋体"/>
                <w:bCs/>
                <w:sz w:val="24"/>
                <w:u w:val="single"/>
              </w:rPr>
            </w:pPr>
            <w:r>
              <w:rPr>
                <w:rFonts w:hint="eastAsia" w:ascii="宋体" w:hAnsi="宋体"/>
                <w:sz w:val="24"/>
              </w:rPr>
              <w:t>开标时间：</w:t>
            </w:r>
            <w:r>
              <w:rPr>
                <w:rFonts w:hint="eastAsia" w:ascii="宋体" w:hAnsi="宋体"/>
                <w:sz w:val="24"/>
                <w:lang w:val="zh-CN"/>
              </w:rPr>
              <w:t>详见招标公告</w:t>
            </w:r>
          </w:p>
          <w:p>
            <w:pPr>
              <w:spacing w:line="500" w:lineRule="exact"/>
              <w:rPr>
                <w:rFonts w:ascii="宋体" w:hAnsi="宋体"/>
                <w:sz w:val="24"/>
              </w:rPr>
            </w:pPr>
            <w:r>
              <w:rPr>
                <w:rFonts w:hint="eastAsia" w:ascii="宋体" w:hAnsi="宋体"/>
                <w:sz w:val="24"/>
              </w:rPr>
              <w:t>开标地点：</w:t>
            </w:r>
            <w:r>
              <w:rPr>
                <w:rFonts w:hint="eastAsia" w:ascii="宋体" w:hAnsi="宋体"/>
                <w:sz w:val="24"/>
                <w:lang w:val="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ascii="宋体" w:hAnsi="宋体"/>
                <w:sz w:val="24"/>
              </w:rPr>
            </w:pPr>
            <w:r>
              <w:rPr>
                <w:rFonts w:hint="eastAsia" w:ascii="宋体" w:hAnsi="宋体"/>
                <w:sz w:val="24"/>
              </w:rPr>
              <w:t>19</w:t>
            </w:r>
          </w:p>
        </w:tc>
        <w:tc>
          <w:tcPr>
            <w:tcW w:w="1686" w:type="dxa"/>
            <w:vAlign w:val="center"/>
          </w:tcPr>
          <w:p>
            <w:pPr>
              <w:spacing w:line="500" w:lineRule="exact"/>
              <w:jc w:val="center"/>
              <w:rPr>
                <w:rFonts w:ascii="宋体" w:hAnsi="宋体"/>
                <w:sz w:val="24"/>
              </w:rPr>
            </w:pPr>
            <w:r>
              <w:rPr>
                <w:rFonts w:hint="eastAsia" w:ascii="宋体" w:hAnsi="宋体"/>
                <w:sz w:val="24"/>
              </w:rPr>
              <w:t>评标办法</w:t>
            </w:r>
          </w:p>
        </w:tc>
        <w:tc>
          <w:tcPr>
            <w:tcW w:w="6793" w:type="dxa"/>
            <w:vAlign w:val="center"/>
          </w:tcPr>
          <w:p>
            <w:pPr>
              <w:spacing w:line="500" w:lineRule="exact"/>
              <w:rPr>
                <w:rFonts w:ascii="宋体" w:hAnsi="宋体"/>
                <w:sz w:val="24"/>
              </w:rPr>
            </w:pPr>
            <w:r>
              <w:rPr>
                <w:rFonts w:hint="eastAsia" w:ascii="宋体" w:hAnsi="宋体"/>
                <w:sz w:val="24"/>
              </w:rPr>
              <w:t>有效最低价法，</w:t>
            </w:r>
            <w:r>
              <w:rPr>
                <w:rFonts w:hint="eastAsia" w:ascii="宋体" w:hAnsi="宋体"/>
                <w:bCs/>
                <w:sz w:val="24"/>
              </w:rPr>
              <w:t>详见</w:t>
            </w:r>
            <w:r>
              <w:rPr>
                <w:rFonts w:hint="eastAsia" w:ascii="宋体" w:hAnsi="宋体"/>
                <w:sz w:val="24"/>
              </w:rPr>
              <w:t>招标文件</w:t>
            </w:r>
            <w:r>
              <w:rPr>
                <w:rFonts w:hint="eastAsia" w:ascii="宋体" w:hAnsi="宋体"/>
                <w:bCs/>
                <w:sz w:val="24"/>
              </w:rPr>
              <w:t>第六章评标办法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66" w:type="dxa"/>
            <w:vAlign w:val="center"/>
          </w:tcPr>
          <w:p>
            <w:pPr>
              <w:spacing w:line="500" w:lineRule="exact"/>
              <w:jc w:val="center"/>
              <w:rPr>
                <w:rFonts w:ascii="宋体" w:hAnsi="宋体"/>
                <w:sz w:val="24"/>
              </w:rPr>
            </w:pPr>
            <w:r>
              <w:rPr>
                <w:rFonts w:hint="eastAsia" w:ascii="宋体" w:hAnsi="宋体"/>
                <w:sz w:val="24"/>
              </w:rPr>
              <w:t>20</w:t>
            </w:r>
          </w:p>
        </w:tc>
        <w:tc>
          <w:tcPr>
            <w:tcW w:w="1686" w:type="dxa"/>
            <w:vAlign w:val="center"/>
          </w:tcPr>
          <w:p>
            <w:pPr>
              <w:spacing w:line="500" w:lineRule="exact"/>
              <w:jc w:val="center"/>
              <w:rPr>
                <w:rFonts w:ascii="宋体" w:hAnsi="宋体"/>
                <w:bCs/>
                <w:sz w:val="24"/>
              </w:rPr>
            </w:pPr>
            <w:r>
              <w:rPr>
                <w:rFonts w:hint="eastAsia" w:ascii="宋体" w:hAnsi="宋体"/>
                <w:bCs/>
                <w:sz w:val="24"/>
              </w:rPr>
              <w:t>履约保证金</w:t>
            </w:r>
          </w:p>
        </w:tc>
        <w:tc>
          <w:tcPr>
            <w:tcW w:w="6793" w:type="dxa"/>
            <w:vAlign w:val="center"/>
          </w:tcPr>
          <w:p>
            <w:pPr>
              <w:spacing w:line="500" w:lineRule="exact"/>
              <w:rPr>
                <w:rFonts w:ascii="宋体" w:hAnsi="宋体"/>
                <w:sz w:val="24"/>
              </w:rPr>
            </w:pPr>
            <w:r>
              <w:rPr>
                <w:rFonts w:hint="eastAsia" w:ascii="宋体" w:hAnsi="宋体"/>
                <w:sz w:val="24"/>
              </w:rPr>
              <w:t>中标价的</w:t>
            </w:r>
            <w:r>
              <w:rPr>
                <w:rFonts w:hint="eastAsia" w:ascii="宋体" w:hAnsi="宋体"/>
                <w:sz w:val="24"/>
                <w:u w:val="single"/>
              </w:rPr>
              <w:t xml:space="preserve"> 5 </w:t>
            </w:r>
            <w:r>
              <w:rPr>
                <w:rFonts w:hint="eastAsia" w:ascii="宋体" w:hAnsi="宋体"/>
                <w:sz w:val="24"/>
              </w:rPr>
              <w:t>%，期限至</w:t>
            </w:r>
            <w:r>
              <w:rPr>
                <w:rFonts w:hint="eastAsia" w:ascii="宋体" w:hAnsi="宋体"/>
                <w:sz w:val="24"/>
                <w:u w:val="single"/>
              </w:rPr>
              <w:t xml:space="preserve"> 工程验收合格后7个日历天   </w:t>
            </w:r>
            <w:r>
              <w:rPr>
                <w:rFonts w:hint="eastAsia" w:ascii="宋体" w:hAnsi="宋体"/>
                <w:sz w:val="24"/>
              </w:rPr>
              <w:t>。收受方式为：</w:t>
            </w:r>
            <w:r>
              <w:rPr>
                <w:rFonts w:hint="eastAsia" w:ascii="宋体" w:hAnsi="宋体"/>
                <w:sz w:val="24"/>
                <w:u w:val="single"/>
              </w:rPr>
              <w:t>□现金、</w:t>
            </w:r>
            <w:r>
              <w:rPr>
                <w:rFonts w:hint="eastAsia"/>
                <w:b/>
                <w:bCs/>
                <w:sz w:val="24"/>
                <w:u w:val="single"/>
              </w:rPr>
              <w:sym w:font="Wingdings" w:char="F0FE"/>
            </w:r>
            <w:r>
              <w:rPr>
                <w:rFonts w:hint="eastAsia" w:ascii="宋体" w:hAnsi="宋体"/>
                <w:sz w:val="24"/>
                <w:u w:val="single"/>
              </w:rPr>
              <w:t>转账/电汇</w:t>
            </w:r>
            <w:r>
              <w:rPr>
                <w:rFonts w:hint="eastAsia" w:ascii="宋体" w:hAnsi="宋体"/>
                <w:sz w:val="24"/>
              </w:rPr>
              <w:t>，收受人为</w:t>
            </w:r>
            <w:r>
              <w:rPr>
                <w:rFonts w:hint="eastAsia" w:ascii="宋体" w:hAnsi="宋体"/>
                <w:b/>
                <w:sz w:val="24"/>
                <w:u w:val="single"/>
              </w:rPr>
              <w:t>合肥百货大楼集团商业大厦有限责任公司</w:t>
            </w:r>
            <w:r>
              <w:rPr>
                <w:rFonts w:hint="eastAsia" w:ascii="宋体" w:hAnsi="宋体"/>
                <w:sz w:val="24"/>
                <w:u w:val="single"/>
              </w:rPr>
              <w:t>财务部</w:t>
            </w:r>
            <w:r>
              <w:rPr>
                <w:rFonts w:hint="eastAsia" w:ascii="宋体" w:hAnsi="宋体"/>
                <w:sz w:val="24"/>
              </w:rPr>
              <w:t>，详见招标文件第三章投标人须知第五条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ascii="宋体" w:hAnsi="宋体"/>
                <w:sz w:val="24"/>
              </w:rPr>
            </w:pPr>
            <w:r>
              <w:rPr>
                <w:rFonts w:hint="eastAsia" w:ascii="宋体" w:hAnsi="宋体"/>
                <w:sz w:val="24"/>
              </w:rPr>
              <w:t>21</w:t>
            </w:r>
          </w:p>
        </w:tc>
        <w:tc>
          <w:tcPr>
            <w:tcW w:w="1686" w:type="dxa"/>
            <w:vAlign w:val="center"/>
          </w:tcPr>
          <w:p>
            <w:pPr>
              <w:spacing w:line="500" w:lineRule="exact"/>
              <w:jc w:val="center"/>
              <w:rPr>
                <w:rFonts w:ascii="宋体" w:hAnsi="宋体"/>
                <w:sz w:val="24"/>
              </w:rPr>
            </w:pPr>
            <w:r>
              <w:rPr>
                <w:rFonts w:hint="eastAsia" w:ascii="宋体" w:hAnsi="宋体"/>
                <w:sz w:val="24"/>
              </w:rPr>
              <w:t>投标样品</w:t>
            </w:r>
          </w:p>
        </w:tc>
        <w:tc>
          <w:tcPr>
            <w:tcW w:w="6793" w:type="dxa"/>
            <w:vAlign w:val="center"/>
          </w:tcPr>
          <w:p>
            <w:pPr>
              <w:spacing w:line="500" w:lineRule="exact"/>
              <w:rPr>
                <w:rFonts w:ascii="宋体" w:hAnsi="宋体"/>
                <w:sz w:val="24"/>
              </w:rPr>
            </w:pPr>
            <w:r>
              <w:rPr>
                <w:rFonts w:hint="eastAsia" w:ascii="宋体" w:hAnsi="宋体"/>
                <w:b/>
                <w:sz w:val="24"/>
              </w:rPr>
              <w:t>□</w:t>
            </w:r>
            <w:r>
              <w:rPr>
                <w:rFonts w:hint="eastAsia" w:ascii="宋体" w:hAnsi="宋体"/>
                <w:sz w:val="24"/>
              </w:rPr>
              <w:t xml:space="preserve">需要  </w:t>
            </w:r>
            <w:r>
              <w:rPr>
                <w:rFonts w:hint="eastAsia"/>
                <w:b/>
                <w:bCs/>
                <w:sz w:val="24"/>
              </w:rPr>
              <w:sym w:font="Wingdings" w:char="F0FE"/>
            </w:r>
            <w:r>
              <w:rPr>
                <w:rFonts w:hint="eastAsia" w:ascii="宋体" w:hAnsi="宋体"/>
                <w:sz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ascii="宋体" w:hAnsi="宋体"/>
                <w:sz w:val="24"/>
              </w:rPr>
            </w:pPr>
            <w:r>
              <w:rPr>
                <w:rFonts w:hint="eastAsia" w:ascii="宋体" w:hAnsi="宋体"/>
                <w:sz w:val="24"/>
              </w:rPr>
              <w:t>22</w:t>
            </w:r>
          </w:p>
        </w:tc>
        <w:tc>
          <w:tcPr>
            <w:tcW w:w="1686" w:type="dxa"/>
            <w:vAlign w:val="center"/>
          </w:tcPr>
          <w:p>
            <w:pPr>
              <w:spacing w:line="500" w:lineRule="exact"/>
              <w:jc w:val="center"/>
              <w:rPr>
                <w:rFonts w:ascii="宋体" w:hAnsi="宋体"/>
                <w:sz w:val="24"/>
              </w:rPr>
            </w:pPr>
            <w:r>
              <w:rPr>
                <w:rFonts w:hint="eastAsia" w:ascii="宋体" w:hAnsi="宋体"/>
                <w:sz w:val="24"/>
              </w:rPr>
              <w:t>本项目提供除电子版招标文件以外的其他资料</w:t>
            </w:r>
          </w:p>
        </w:tc>
        <w:tc>
          <w:tcPr>
            <w:tcW w:w="6793" w:type="dxa"/>
            <w:vAlign w:val="center"/>
          </w:tcPr>
          <w:p>
            <w:pPr>
              <w:spacing w:line="500" w:lineRule="exact"/>
              <w:rPr>
                <w:rFonts w:ascii="宋体" w:hAnsi="宋体"/>
                <w:b/>
                <w:sz w:val="24"/>
                <w:u w:val="single"/>
              </w:rPr>
            </w:pPr>
            <w:r>
              <w:rPr>
                <w:rFonts w:hint="eastAsia"/>
                <w:b/>
                <w:bCs/>
                <w:sz w:val="24"/>
              </w:rPr>
              <w:sym w:font="Wingdings" w:char="F0FE"/>
            </w:r>
            <w:r>
              <w:rPr>
                <w:rFonts w:hint="eastAsia" w:ascii="宋体" w:hAnsi="宋体"/>
                <w:b/>
                <w:sz w:val="24"/>
              </w:rPr>
              <w:t>设计图纸</w:t>
            </w:r>
          </w:p>
          <w:p>
            <w:pPr>
              <w:spacing w:line="500" w:lineRule="exact"/>
              <w:rPr>
                <w:rFonts w:ascii="宋体" w:hAnsi="宋体"/>
                <w:b/>
                <w:sz w:val="24"/>
              </w:rPr>
            </w:pPr>
            <w:r>
              <w:rPr>
                <w:rFonts w:hint="eastAsia" w:ascii="宋体" w:hAnsi="宋体"/>
                <w:b/>
                <w:sz w:val="24"/>
              </w:rPr>
              <w:t>获得方式：上述资料如有，请投标人在获取招标文件后，自行登录我公司网站下载本项目附件（该附件为招标文件的组成部分）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ascii="宋体" w:hAnsi="宋体"/>
                <w:sz w:val="24"/>
              </w:rPr>
            </w:pPr>
            <w:r>
              <w:rPr>
                <w:rFonts w:hint="eastAsia" w:ascii="宋体" w:hAnsi="宋体"/>
                <w:sz w:val="24"/>
              </w:rPr>
              <w:t>23</w:t>
            </w:r>
          </w:p>
        </w:tc>
        <w:tc>
          <w:tcPr>
            <w:tcW w:w="1686" w:type="dxa"/>
            <w:vAlign w:val="center"/>
          </w:tcPr>
          <w:p>
            <w:pPr>
              <w:spacing w:line="500" w:lineRule="exact"/>
              <w:jc w:val="center"/>
              <w:rPr>
                <w:rFonts w:ascii="宋体" w:hAnsi="宋体"/>
                <w:sz w:val="24"/>
              </w:rPr>
            </w:pPr>
            <w:r>
              <w:rPr>
                <w:rFonts w:hint="eastAsia" w:ascii="宋体" w:hAnsi="宋体"/>
                <w:sz w:val="24"/>
              </w:rPr>
              <w:t>业绩要求</w:t>
            </w:r>
          </w:p>
        </w:tc>
        <w:tc>
          <w:tcPr>
            <w:tcW w:w="6793" w:type="dxa"/>
            <w:vAlign w:val="center"/>
          </w:tcPr>
          <w:p>
            <w:pPr>
              <w:spacing w:line="500" w:lineRule="exact"/>
              <w:rPr>
                <w:rFonts w:ascii="宋体" w:hAnsi="宋体"/>
                <w:b/>
                <w:bCs/>
                <w:sz w:val="24"/>
              </w:rPr>
            </w:pPr>
            <w:r>
              <w:rPr>
                <w:rFonts w:hint="eastAsia" w:ascii="宋体" w:hAnsi="宋体"/>
                <w:b/>
                <w:bCs/>
                <w:sz w:val="24"/>
              </w:rPr>
              <w:t>1、本招标文件中要求的业绩须为已完工并验收合格的业绩：投标文件中除提供该业绩的合同扫描件外，还须附与该业绩对应的项目已完工并验收合格的业主证明材料（扫描件），如验收报告或业主开具的证明等。</w:t>
            </w:r>
          </w:p>
          <w:p>
            <w:pPr>
              <w:spacing w:line="500" w:lineRule="exact"/>
              <w:rPr>
                <w:rFonts w:ascii="宋体" w:hAnsi="宋体"/>
                <w:b/>
                <w:bCs/>
                <w:sz w:val="24"/>
              </w:rPr>
            </w:pPr>
            <w:r>
              <w:rPr>
                <w:rFonts w:hint="eastAsia" w:ascii="宋体" w:hAnsi="宋体"/>
                <w:b/>
                <w:bCs/>
                <w:sz w:val="24"/>
              </w:rPr>
              <w:t>注：（1）验收报告或业主证明须加盖业主单位公章(所提供的证明材料上已有业主单位公章的除外)，否则评标委员会可不予认可；（2）业绩合同可提供包含甲乙方、项目名称、合同总金额、合同签订时间、合同供货范围、合同签字盖章页等关键内容的关键页的扫描件；（3）业绩金额以项目合同总金额为准。</w:t>
            </w:r>
          </w:p>
          <w:p>
            <w:pPr>
              <w:spacing w:line="500" w:lineRule="exact"/>
              <w:rPr>
                <w:rFonts w:ascii="宋体" w:hAnsi="宋体"/>
                <w:sz w:val="24"/>
              </w:rPr>
            </w:pPr>
            <w:r>
              <w:rPr>
                <w:rFonts w:hint="eastAsia" w:ascii="宋体" w:hAnsi="宋体"/>
                <w:b/>
                <w:bCs/>
                <w:sz w:val="24"/>
              </w:rPr>
              <w:t>2、所提供的业绩合同中不能明确反映出招标文件所要求的内容的（如合同总金额或项目负责人名称等），应另附业主证明材料予以明确说明，须加盖业主单位公章，否则评标委员会可不予认可。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ascii="宋体" w:hAnsi="宋体"/>
                <w:sz w:val="24"/>
              </w:rPr>
            </w:pPr>
            <w:r>
              <w:rPr>
                <w:rFonts w:hint="eastAsia" w:ascii="宋体" w:hAnsi="宋体"/>
                <w:sz w:val="24"/>
              </w:rPr>
              <w:t>24</w:t>
            </w:r>
          </w:p>
        </w:tc>
        <w:tc>
          <w:tcPr>
            <w:tcW w:w="1686" w:type="dxa"/>
            <w:vAlign w:val="center"/>
          </w:tcPr>
          <w:p>
            <w:pPr>
              <w:spacing w:line="500" w:lineRule="exact"/>
              <w:jc w:val="center"/>
              <w:rPr>
                <w:rFonts w:ascii="宋体" w:hAnsi="宋体"/>
                <w:sz w:val="24"/>
              </w:rPr>
            </w:pPr>
            <w:r>
              <w:rPr>
                <w:rFonts w:hint="eastAsia" w:ascii="宋体" w:hAnsi="宋体"/>
                <w:sz w:val="24"/>
              </w:rPr>
              <w:t>其他</w:t>
            </w:r>
          </w:p>
        </w:tc>
        <w:tc>
          <w:tcPr>
            <w:tcW w:w="6793" w:type="dxa"/>
            <w:vAlign w:val="center"/>
          </w:tcPr>
          <w:p>
            <w:pPr>
              <w:spacing w:line="480" w:lineRule="exact"/>
              <w:rPr>
                <w:rFonts w:ascii="宋体" w:hAnsi="宋体"/>
                <w:b/>
                <w:bCs/>
                <w:sz w:val="24"/>
              </w:rPr>
            </w:pPr>
            <w:r>
              <w:rPr>
                <w:rFonts w:hint="eastAsia" w:ascii="宋体" w:hAnsi="宋体"/>
                <w:b/>
                <w:bCs/>
                <w:sz w:val="24"/>
              </w:rPr>
              <w:t>1、招标文件中要求加盖公章或电子签章的，均可以提供加盖公章的扫描件。</w:t>
            </w:r>
          </w:p>
          <w:p>
            <w:pPr>
              <w:spacing w:line="480" w:lineRule="exact"/>
              <w:rPr>
                <w:rFonts w:ascii="宋体" w:hAnsi="宋体"/>
                <w:b/>
                <w:sz w:val="24"/>
              </w:rPr>
            </w:pPr>
            <w:r>
              <w:rPr>
                <w:rFonts w:hint="eastAsia" w:ascii="宋体" w:hAnsi="宋体"/>
                <w:b/>
                <w:sz w:val="24"/>
              </w:rPr>
              <w:t>2、凡中标的外地来肥建筑安装企业，应按照国家税务总局2016年第17号公告规定，在建筑服务发生地及时足额预缴增值税。</w:t>
            </w:r>
          </w:p>
          <w:p>
            <w:pPr>
              <w:spacing w:line="480" w:lineRule="exact"/>
              <w:rPr>
                <w:rFonts w:ascii="宋体" w:hAnsi="宋体"/>
                <w:b/>
                <w:sz w:val="24"/>
              </w:rPr>
            </w:pPr>
            <w:r>
              <w:rPr>
                <w:rFonts w:hint="eastAsia" w:ascii="宋体" w:hAnsi="宋体"/>
                <w:b/>
                <w:sz w:val="24"/>
              </w:rPr>
              <w:t>3、</w:t>
            </w:r>
            <w:r>
              <w:rPr>
                <w:rFonts w:ascii="宋体" w:hAnsi="宋体"/>
                <w:b/>
                <w:sz w:val="24"/>
              </w:rPr>
              <w:t xml:space="preserve">如有最新国家和地方标准、规范等，应按最新标准、规范执行，如多个规范对同一问题的标准和要求不一致时，应按较高标准和要求内容执行 </w:t>
            </w:r>
            <w:r>
              <w:rPr>
                <w:rFonts w:hint="eastAsia" w:ascii="宋体" w:hAnsi="宋体"/>
                <w:b/>
                <w:sz w:val="24"/>
              </w:rPr>
              <w:t>。</w:t>
            </w:r>
          </w:p>
          <w:p>
            <w:pPr>
              <w:spacing w:line="480" w:lineRule="exact"/>
              <w:rPr>
                <w:rFonts w:ascii="宋体" w:hAnsi="宋体"/>
                <w:b/>
                <w:color w:val="auto"/>
                <w:sz w:val="24"/>
              </w:rPr>
            </w:pPr>
            <w:r>
              <w:rPr>
                <w:rFonts w:hint="eastAsia" w:ascii="宋体" w:hAnsi="宋体"/>
                <w:b/>
                <w:color w:val="auto"/>
                <w:sz w:val="24"/>
              </w:rPr>
              <w:t>4、2020年1月24日，安徽省新型冠状病毒感染的肺炎疫情防控应急指挥部决定，启动安徽省重大公共卫生事件一级响应，投标人在投标前已充分了解并清楚知晓肺炎疫情及影响。</w:t>
            </w:r>
          </w:p>
          <w:p>
            <w:pPr>
              <w:spacing w:line="480" w:lineRule="exact"/>
              <w:rPr>
                <w:rFonts w:ascii="宋体" w:hAnsi="宋体"/>
                <w:b/>
                <w:color w:val="auto"/>
                <w:sz w:val="24"/>
              </w:rPr>
            </w:pPr>
            <w:r>
              <w:rPr>
                <w:rFonts w:hint="eastAsia" w:ascii="宋体" w:hAnsi="宋体"/>
                <w:b/>
                <w:color w:val="auto"/>
                <w:sz w:val="24"/>
              </w:rPr>
              <w:t>5、因投标人在签订合同时对肺炎疫情及影响已经可以合理预见，肺炎疫情及影响属于合同总价包含的风险范围，投标人在投标报价时已经充分考虑，不再另行计取。</w:t>
            </w:r>
          </w:p>
          <w:p>
            <w:pPr>
              <w:spacing w:line="480" w:lineRule="exact"/>
              <w:rPr>
                <w:rFonts w:ascii="宋体" w:hAnsi="宋体"/>
                <w:b/>
                <w:color w:val="auto"/>
                <w:sz w:val="24"/>
              </w:rPr>
            </w:pPr>
            <w:r>
              <w:rPr>
                <w:rFonts w:hint="eastAsia" w:ascii="宋体" w:hAnsi="宋体"/>
                <w:b/>
                <w:color w:val="auto"/>
                <w:sz w:val="24"/>
              </w:rPr>
              <w:t>6、工程开工日期以招标人发出的开工指令为准；投标人应当知悉，计划开工日期之后，如安徽省有关主管部门仍未终结本次重大公共卫生事件应急响应，可能导致工程无法按计划开工；投标人应当充分考虑因肺炎疫情及影响导致迟延开工的风险，投标人承诺不因迟延开工向招标人主张变更或解除合同。</w:t>
            </w:r>
          </w:p>
          <w:p>
            <w:pPr>
              <w:spacing w:line="480" w:lineRule="exact"/>
              <w:rPr>
                <w:rFonts w:ascii="宋体" w:hAnsi="宋体"/>
                <w:b/>
                <w:color w:val="auto"/>
                <w:sz w:val="24"/>
              </w:rPr>
            </w:pPr>
            <w:r>
              <w:rPr>
                <w:rFonts w:hint="eastAsia" w:ascii="宋体" w:hAnsi="宋体"/>
                <w:b/>
                <w:color w:val="auto"/>
                <w:sz w:val="24"/>
              </w:rPr>
              <w:t>7、工程开工后，招标人和投标人均应严格遵循政府及有关部门规定的肺炎疫情防控要求，因一方未严格执行防控措施而导致工程停工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仔细踏勘现场、综合考虑、慎重报价，中标后不予调整。</w:t>
            </w:r>
          </w:p>
          <w:p>
            <w:pPr>
              <w:spacing w:line="480" w:lineRule="exact"/>
              <w:rPr>
                <w:rFonts w:ascii="宋体" w:hAnsi="宋体"/>
                <w:b/>
                <w:color w:val="auto"/>
                <w:sz w:val="24"/>
              </w:rPr>
            </w:pPr>
            <w:r>
              <w:rPr>
                <w:rFonts w:hint="eastAsia" w:ascii="宋体" w:hAnsi="宋体"/>
                <w:b/>
                <w:color w:val="auto"/>
                <w:sz w:val="24"/>
              </w:rPr>
              <w:t>8、施工过程中，不得因肺炎疫情及影响导致材料价格上涨、材料采购困难、施工人员组织困难、疫情防治需要等情况拖延或影响合同工期，却有影响的，应及时采取一切有效措施弥补损失，确保按期保质完成项目建设，投标人应仔细踏勘现场、综合考虑、慎重报价，中标后不予调整。</w:t>
            </w:r>
          </w:p>
          <w:p>
            <w:pPr>
              <w:spacing w:line="480" w:lineRule="exact"/>
              <w:rPr>
                <w:rFonts w:ascii="宋体" w:hAnsi="宋体"/>
                <w:b/>
                <w:color w:val="FF0000"/>
                <w:sz w:val="24"/>
              </w:rPr>
            </w:pPr>
            <w:r>
              <w:rPr>
                <w:rFonts w:hint="eastAsia" w:ascii="宋体" w:hAnsi="宋体"/>
                <w:b/>
                <w:color w:val="auto"/>
                <w:sz w:val="24"/>
              </w:rPr>
              <w:t>9、本项目与商业大厦内部装饰改造工程存在交叉施工的情况，所需交叉施工降效费用包含在投标报价中，不单独列项，投标人应仔细踏勘现场、综合考虑、慎重报价，中标后不予调整。</w:t>
            </w:r>
          </w:p>
        </w:tc>
      </w:tr>
    </w:tbl>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2"/>
        <w:numPr>
          <w:ilvl w:val="0"/>
          <w:numId w:val="2"/>
        </w:numPr>
      </w:pPr>
      <w:bookmarkStart w:id="3" w:name="_Toc29394977"/>
      <w:r>
        <w:rPr>
          <w:rFonts w:hint="eastAsia"/>
        </w:rPr>
        <w:t xml:space="preserve"> 投标人须知</w:t>
      </w:r>
      <w:bookmarkEnd w:id="3"/>
    </w:p>
    <w:p/>
    <w:p>
      <w:pPr>
        <w:spacing w:line="500" w:lineRule="exact"/>
        <w:ind w:firstLine="420"/>
        <w:rPr>
          <w:rFonts w:ascii="宋体"/>
          <w:b/>
          <w:sz w:val="24"/>
        </w:rPr>
      </w:pPr>
      <w:r>
        <w:rPr>
          <w:rFonts w:hint="eastAsia" w:ascii="宋体" w:hAnsi="宋体"/>
          <w:b/>
          <w:sz w:val="24"/>
        </w:rPr>
        <w:t>一、说明及注意事项</w:t>
      </w:r>
    </w:p>
    <w:p>
      <w:pPr>
        <w:spacing w:line="500" w:lineRule="exact"/>
        <w:ind w:firstLine="420"/>
        <w:rPr>
          <w:rFonts w:ascii="宋体"/>
          <w:sz w:val="24"/>
        </w:rPr>
      </w:pPr>
      <w:r>
        <w:rPr>
          <w:rFonts w:ascii="宋体" w:hAnsi="宋体"/>
          <w:sz w:val="24"/>
        </w:rPr>
        <w:t>1</w:t>
      </w:r>
      <w:r>
        <w:rPr>
          <w:rFonts w:hint="eastAsia" w:ascii="宋体" w:hAnsi="宋体"/>
          <w:sz w:val="24"/>
        </w:rPr>
        <w:t>．投标文件的编写要求</w:t>
      </w:r>
    </w:p>
    <w:p>
      <w:pPr>
        <w:spacing w:line="500" w:lineRule="exact"/>
        <w:ind w:firstLine="420"/>
        <w:rPr>
          <w:rFonts w:ascii="宋体"/>
          <w:sz w:val="24"/>
        </w:rPr>
      </w:pPr>
      <w:r>
        <w:rPr>
          <w:rFonts w:hint="eastAsia" w:ascii="宋体" w:hAnsi="宋体"/>
          <w:sz w:val="24"/>
        </w:rPr>
        <w:t>⑴投标人须以招标人正式发布的《招标文件》为制作《投标文件》的依据；</w:t>
      </w:r>
    </w:p>
    <w:p>
      <w:pPr>
        <w:spacing w:line="500" w:lineRule="exact"/>
        <w:ind w:firstLine="420"/>
        <w:rPr>
          <w:rFonts w:ascii="宋体"/>
          <w:sz w:val="24"/>
        </w:rPr>
      </w:pPr>
      <w:r>
        <w:rPr>
          <w:rFonts w:hint="eastAsia" w:ascii="宋体" w:hAnsi="宋体"/>
          <w:sz w:val="24"/>
        </w:rPr>
        <w:t>⑵投标人应仔细阅读招标文件的所有内容，按招标文件的要求提供投标文件，并保证所提供的全部资料真实有效；</w:t>
      </w:r>
    </w:p>
    <w:p>
      <w:pPr>
        <w:spacing w:line="500" w:lineRule="exact"/>
        <w:ind w:firstLine="420"/>
        <w:rPr>
          <w:rFonts w:ascii="宋体"/>
          <w:sz w:val="24"/>
        </w:rPr>
      </w:pPr>
      <w:r>
        <w:rPr>
          <w:rFonts w:hint="eastAsia" w:ascii="宋体" w:hAnsi="宋体"/>
          <w:sz w:val="24"/>
        </w:rPr>
        <w:t>⑶投标文件的书面内容不得涂抹或改写；</w:t>
      </w:r>
    </w:p>
    <w:p>
      <w:pPr>
        <w:spacing w:line="500" w:lineRule="exact"/>
        <w:ind w:firstLine="420"/>
        <w:rPr>
          <w:rFonts w:ascii="宋体" w:hAnsi="宋体"/>
          <w:sz w:val="24"/>
        </w:rPr>
      </w:pPr>
      <w:r>
        <w:rPr>
          <w:rFonts w:hint="eastAsia" w:ascii="宋体" w:hAnsi="宋体"/>
          <w:sz w:val="24"/>
        </w:rPr>
        <w:t>⑷招标文件编目清晰，查找方便，报价清单条目顺序须于招标文件一致，提供的产品参数证明资料应醒目注明。</w:t>
      </w:r>
    </w:p>
    <w:p>
      <w:pPr>
        <w:spacing w:line="500" w:lineRule="exact"/>
        <w:ind w:firstLine="420"/>
        <w:rPr>
          <w:rFonts w:ascii="宋体"/>
          <w:sz w:val="24"/>
        </w:rPr>
      </w:pPr>
      <w:r>
        <w:rPr>
          <w:rFonts w:hint="eastAsia" w:ascii="宋体" w:hAnsi="宋体"/>
          <w:sz w:val="24"/>
        </w:rPr>
        <w:t>⑸满足本招标文件规定的其它要求。</w:t>
      </w:r>
    </w:p>
    <w:p>
      <w:pPr>
        <w:spacing w:line="500" w:lineRule="exact"/>
        <w:ind w:firstLine="420"/>
        <w:rPr>
          <w:rFonts w:ascii="宋体"/>
          <w:sz w:val="24"/>
        </w:rPr>
      </w:pPr>
      <w:r>
        <w:rPr>
          <w:rFonts w:ascii="宋体" w:hAnsi="宋体"/>
          <w:sz w:val="24"/>
        </w:rPr>
        <w:t>2.</w:t>
      </w:r>
      <w:r>
        <w:rPr>
          <w:rFonts w:hint="eastAsia" w:ascii="宋体" w:hAnsi="宋体"/>
          <w:sz w:val="24"/>
        </w:rPr>
        <w:t>投标文件由以下部分构成</w:t>
      </w:r>
    </w:p>
    <w:p>
      <w:pPr>
        <w:spacing w:line="500" w:lineRule="exact"/>
        <w:ind w:firstLine="420"/>
        <w:rPr>
          <w:rFonts w:ascii="宋体"/>
          <w:sz w:val="24"/>
        </w:rPr>
      </w:pPr>
      <w:r>
        <w:rPr>
          <w:rFonts w:hint="eastAsia" w:ascii="宋体" w:hAnsi="宋体"/>
          <w:sz w:val="24"/>
        </w:rPr>
        <w:t>⑴投标承诺书、开标一览表、报价清单、投标事项承诺、产品参数偏离表、品牌响应表等；</w:t>
      </w:r>
    </w:p>
    <w:p>
      <w:pPr>
        <w:spacing w:line="500" w:lineRule="exact"/>
        <w:ind w:firstLine="420"/>
        <w:rPr>
          <w:rFonts w:ascii="宋体"/>
          <w:sz w:val="24"/>
        </w:rPr>
      </w:pPr>
      <w:r>
        <w:rPr>
          <w:rFonts w:hint="eastAsia" w:ascii="宋体" w:hAnsi="宋体"/>
          <w:sz w:val="24"/>
        </w:rPr>
        <w:t>⑵投标人资质证明文件、法人和授权代表人身份证复印件；</w:t>
      </w:r>
    </w:p>
    <w:p>
      <w:pPr>
        <w:spacing w:line="500" w:lineRule="exact"/>
        <w:ind w:firstLine="420"/>
        <w:rPr>
          <w:rFonts w:ascii="宋体"/>
          <w:sz w:val="24"/>
        </w:rPr>
      </w:pPr>
      <w:r>
        <w:rPr>
          <w:rFonts w:hint="eastAsia" w:ascii="宋体" w:hAnsi="宋体"/>
          <w:sz w:val="24"/>
        </w:rPr>
        <w:t>⑶投标人同类项目合同、本项目服务工作计划及投标人其它说明文件等；</w:t>
      </w:r>
    </w:p>
    <w:p>
      <w:pPr>
        <w:spacing w:line="500" w:lineRule="exact"/>
        <w:ind w:firstLine="420"/>
        <w:rPr>
          <w:rFonts w:ascii="宋体"/>
          <w:sz w:val="24"/>
        </w:rPr>
      </w:pPr>
      <w:r>
        <w:rPr>
          <w:rFonts w:hint="eastAsia" w:ascii="宋体" w:hAnsi="宋体"/>
          <w:sz w:val="24"/>
        </w:rPr>
        <w:t>⑷相关案例材料，项目负责人详细情况及拟派往本项目的设计人员情况（包括履历和项目经验）。</w:t>
      </w:r>
    </w:p>
    <w:p>
      <w:pPr>
        <w:spacing w:line="500" w:lineRule="exact"/>
        <w:ind w:firstLine="420"/>
        <w:rPr>
          <w:rFonts w:ascii="宋体"/>
          <w:sz w:val="24"/>
        </w:rPr>
      </w:pPr>
      <w:r>
        <w:rPr>
          <w:rFonts w:ascii="宋体" w:hAnsi="宋体"/>
          <w:sz w:val="24"/>
        </w:rPr>
        <w:t>3</w:t>
      </w:r>
      <w:r>
        <w:rPr>
          <w:rFonts w:hint="eastAsia" w:ascii="宋体" w:hAnsi="宋体"/>
          <w:sz w:val="24"/>
        </w:rPr>
        <w:t>．投标报价说明</w:t>
      </w:r>
    </w:p>
    <w:p>
      <w:pPr>
        <w:spacing w:line="500" w:lineRule="exact"/>
        <w:ind w:firstLine="420"/>
        <w:rPr>
          <w:rFonts w:ascii="宋体" w:hAnsi="宋体"/>
          <w:sz w:val="24"/>
        </w:rPr>
      </w:pPr>
      <w:r>
        <w:rPr>
          <w:rFonts w:hint="eastAsia" w:ascii="宋体" w:hAnsi="宋体"/>
          <w:sz w:val="24"/>
        </w:rPr>
        <w:t>⑴除招标文件中另有规定外，计量单位为我国法定计量单位；投标报价、服务费结算一律使用人民币；</w:t>
      </w:r>
    </w:p>
    <w:p>
      <w:pPr>
        <w:spacing w:line="500" w:lineRule="exact"/>
        <w:ind w:firstLine="424" w:firstLineChars="177"/>
        <w:rPr>
          <w:rFonts w:ascii="宋体" w:hAnsi="宋体"/>
          <w:sz w:val="24"/>
        </w:rPr>
      </w:pPr>
      <w:r>
        <w:rPr>
          <w:rFonts w:hint="eastAsia" w:ascii="宋体" w:hAnsi="宋体"/>
          <w:sz w:val="24"/>
        </w:rPr>
        <w:t>⑵本项目采用总价报价，中标价为合同价。</w:t>
      </w:r>
    </w:p>
    <w:p>
      <w:pPr>
        <w:spacing w:line="500" w:lineRule="exact"/>
        <w:ind w:firstLine="480" w:firstLineChars="200"/>
        <w:rPr>
          <w:rFonts w:ascii="宋体" w:hAnsi="宋体"/>
          <w:sz w:val="24"/>
        </w:rPr>
      </w:pPr>
      <w:r>
        <w:rPr>
          <w:rFonts w:hint="eastAsia" w:ascii="宋体" w:hAnsi="宋体"/>
          <w:sz w:val="24"/>
        </w:rPr>
        <w:t>此报价为完成本项目工作所有内容的所有费用，投标时须按项目说明列明的需求作为基础报出投标报价，此报价是指完成招标需求全部内容的综合价格。包括各项服务、</w:t>
      </w:r>
      <w:r>
        <w:rPr>
          <w:rFonts w:hint="eastAsia" w:ascii="宋体" w:hAnsi="宋体"/>
          <w:b/>
          <w:sz w:val="24"/>
        </w:rPr>
        <w:t>改造过程中旧设备的拆除、临时线路的敷设、临时设备的安装</w:t>
      </w:r>
      <w:r>
        <w:rPr>
          <w:rFonts w:hint="eastAsia" w:ascii="宋体" w:hAnsi="宋体"/>
          <w:sz w:val="24"/>
        </w:rPr>
        <w:t>及服务中涉及到的总包管理服务费、材料消耗、人员、维保、验收、培训、利润、税金等全部费用。除此之外，招标人不再提供其他任何费用。</w:t>
      </w:r>
    </w:p>
    <w:p>
      <w:pPr>
        <w:spacing w:line="500" w:lineRule="exact"/>
        <w:ind w:firstLine="424" w:firstLineChars="177"/>
        <w:rPr>
          <w:rFonts w:ascii="宋体" w:hAnsi="宋体"/>
          <w:sz w:val="24"/>
        </w:rPr>
      </w:pPr>
      <w:r>
        <w:rPr>
          <w:rFonts w:hint="eastAsia" w:ascii="宋体" w:hAnsi="宋体"/>
          <w:sz w:val="24"/>
        </w:rPr>
        <w:t>⑶投标人投标前应进行现场勘查，各种风险须充分考虑，请投标人谨慎报价。中标后不得以任何理由提出变更等理由增加造价、调整价格。</w:t>
      </w:r>
    </w:p>
    <w:p>
      <w:pPr>
        <w:spacing w:line="500" w:lineRule="exact"/>
        <w:ind w:firstLine="420"/>
        <w:rPr>
          <w:rFonts w:ascii="宋体"/>
          <w:sz w:val="24"/>
        </w:rPr>
      </w:pPr>
      <w:r>
        <w:rPr>
          <w:rFonts w:hint="eastAsia" w:ascii="宋体" w:hAnsi="宋体"/>
          <w:sz w:val="24"/>
        </w:rPr>
        <w:t>⑷投标人须充分考虑所投服务成本，中标及合同履约期内，不得以任何理由要求对其投标价格进行变更或拒绝服务。</w:t>
      </w:r>
    </w:p>
    <w:p>
      <w:pPr>
        <w:spacing w:line="500" w:lineRule="exact"/>
        <w:ind w:firstLine="420"/>
        <w:rPr>
          <w:rFonts w:ascii="宋体"/>
          <w:sz w:val="24"/>
        </w:rPr>
      </w:pPr>
      <w:r>
        <w:rPr>
          <w:rFonts w:ascii="宋体" w:hAnsi="宋体"/>
          <w:sz w:val="24"/>
        </w:rPr>
        <w:t>4</w:t>
      </w:r>
      <w:r>
        <w:rPr>
          <w:rFonts w:hint="eastAsia" w:ascii="宋体" w:hAnsi="宋体"/>
          <w:sz w:val="24"/>
        </w:rPr>
        <w:t>．请投标人接到招标文件后</w:t>
      </w:r>
      <w:r>
        <w:rPr>
          <w:rFonts w:ascii="宋体"/>
          <w:sz w:val="24"/>
        </w:rPr>
        <w:t>,</w:t>
      </w:r>
      <w:r>
        <w:rPr>
          <w:rFonts w:hint="eastAsia" w:ascii="宋体" w:hAnsi="宋体"/>
          <w:sz w:val="24"/>
        </w:rPr>
        <w:t>认真审阅和全面理解招标文件中所有的须知、条件、格式、条款，如果投标人的投标文件不符合招标文件要求，该投标文件将被拒绝，责任自负。</w:t>
      </w:r>
    </w:p>
    <w:p>
      <w:pPr>
        <w:spacing w:line="500" w:lineRule="exact"/>
        <w:ind w:firstLine="420"/>
        <w:rPr>
          <w:rFonts w:ascii="宋体"/>
          <w:sz w:val="24"/>
        </w:rPr>
      </w:pPr>
      <w:r>
        <w:rPr>
          <w:rFonts w:ascii="宋体" w:hAnsi="宋体"/>
          <w:sz w:val="24"/>
        </w:rPr>
        <w:t>5</w:t>
      </w:r>
      <w:r>
        <w:rPr>
          <w:rFonts w:hint="eastAsia" w:ascii="宋体" w:hAnsi="宋体"/>
          <w:sz w:val="24"/>
        </w:rPr>
        <w:t>．投标人在交付保证金后，如出现串标、毁标、中标后不签订合同或在履行合同时出现违约行为，招标人有权没收投标保证金并记入百大集团招投标黑名单；资审通过放弃投标的请在开标前</w:t>
      </w:r>
      <w:r>
        <w:rPr>
          <w:rFonts w:ascii="宋体" w:hAnsi="宋体"/>
          <w:sz w:val="24"/>
        </w:rPr>
        <w:t>3</w:t>
      </w:r>
      <w:r>
        <w:rPr>
          <w:rFonts w:hint="eastAsia" w:ascii="宋体" w:hAnsi="宋体"/>
          <w:sz w:val="24"/>
        </w:rPr>
        <w:t>日以书面形式告知招标人，否则没收投标保证金。</w:t>
      </w:r>
    </w:p>
    <w:p>
      <w:pPr>
        <w:spacing w:line="500" w:lineRule="exact"/>
        <w:ind w:firstLine="420"/>
        <w:rPr>
          <w:rFonts w:ascii="宋体"/>
          <w:sz w:val="24"/>
        </w:rPr>
      </w:pPr>
      <w:r>
        <w:rPr>
          <w:rFonts w:ascii="宋体" w:hAnsi="宋体"/>
          <w:sz w:val="24"/>
        </w:rPr>
        <w:t>6</w:t>
      </w:r>
      <w:r>
        <w:rPr>
          <w:rFonts w:hint="eastAsia" w:ascii="宋体" w:hAnsi="宋体"/>
          <w:sz w:val="24"/>
        </w:rPr>
        <w:t>．招标人将按本招标文件时间安排表确定的时间、地点开标，投标人的法定代表人（或代理人）应准时出席，否则将视为弃权，投标保证金不予返还。</w:t>
      </w:r>
    </w:p>
    <w:p>
      <w:pPr>
        <w:spacing w:line="500" w:lineRule="exact"/>
        <w:ind w:firstLine="420"/>
        <w:rPr>
          <w:rFonts w:ascii="宋体"/>
          <w:b/>
          <w:sz w:val="24"/>
        </w:rPr>
      </w:pPr>
      <w:r>
        <w:rPr>
          <w:rFonts w:hint="eastAsia" w:ascii="宋体" w:hAnsi="宋体"/>
          <w:b/>
          <w:sz w:val="24"/>
        </w:rPr>
        <w:t>二、投标文件的递交</w:t>
      </w:r>
    </w:p>
    <w:p>
      <w:pPr>
        <w:spacing w:line="500" w:lineRule="exact"/>
        <w:ind w:firstLine="420"/>
        <w:rPr>
          <w:rFonts w:ascii="宋体"/>
          <w:sz w:val="24"/>
        </w:rPr>
      </w:pPr>
      <w:r>
        <w:rPr>
          <w:rFonts w:ascii="宋体" w:hAnsi="宋体"/>
          <w:sz w:val="24"/>
        </w:rPr>
        <w:t>1</w:t>
      </w:r>
      <w:r>
        <w:rPr>
          <w:rFonts w:hint="eastAsia" w:ascii="宋体" w:hAnsi="宋体"/>
          <w:sz w:val="24"/>
        </w:rPr>
        <w:t>．投标文件的密封和标记</w:t>
      </w:r>
    </w:p>
    <w:p>
      <w:pPr>
        <w:spacing w:line="500" w:lineRule="exact"/>
        <w:ind w:firstLine="420"/>
        <w:rPr>
          <w:rFonts w:ascii="宋体"/>
          <w:sz w:val="24"/>
        </w:rPr>
      </w:pPr>
      <w:r>
        <w:rPr>
          <w:rFonts w:hint="eastAsia" w:ascii="宋体" w:hAnsi="宋体"/>
          <w:sz w:val="24"/>
        </w:rPr>
        <w:t>⑴投标文件应密封并在封口加贴封条，并在封面注明招标编号、投标项目、投标单位等；同时，在密封处加盖骑缝章；</w:t>
      </w:r>
    </w:p>
    <w:p>
      <w:pPr>
        <w:spacing w:line="500" w:lineRule="exact"/>
        <w:ind w:firstLine="420"/>
        <w:rPr>
          <w:rFonts w:ascii="宋体"/>
          <w:b/>
          <w:sz w:val="24"/>
        </w:rPr>
      </w:pPr>
      <w:r>
        <w:rPr>
          <w:rFonts w:hint="eastAsia" w:ascii="宋体" w:hAnsi="宋体"/>
          <w:sz w:val="24"/>
        </w:rPr>
        <w:t>⑵投标文件要求：</w:t>
      </w:r>
      <w:r>
        <w:rPr>
          <w:rFonts w:hint="eastAsia" w:ascii="宋体" w:hAnsi="宋体"/>
          <w:b/>
          <w:bCs/>
          <w:sz w:val="24"/>
        </w:rPr>
        <w:t>胶装，正、副本各一份</w:t>
      </w:r>
      <w:r>
        <w:rPr>
          <w:rFonts w:hint="eastAsia" w:ascii="宋体" w:hAnsi="宋体"/>
          <w:b/>
          <w:sz w:val="24"/>
        </w:rPr>
        <w:t>，PDF电子版一份。</w:t>
      </w:r>
    </w:p>
    <w:p>
      <w:pPr>
        <w:spacing w:line="500" w:lineRule="exact"/>
        <w:ind w:firstLine="420"/>
        <w:rPr>
          <w:rFonts w:ascii="宋体"/>
          <w:sz w:val="24"/>
        </w:rPr>
      </w:pPr>
      <w:r>
        <w:rPr>
          <w:rFonts w:ascii="宋体" w:hAnsi="宋体"/>
          <w:sz w:val="24"/>
        </w:rPr>
        <w:t>2</w:t>
      </w:r>
      <w:r>
        <w:rPr>
          <w:rFonts w:hint="eastAsia" w:ascii="宋体" w:hAnsi="宋体"/>
          <w:sz w:val="24"/>
        </w:rPr>
        <w:t>．投标文件的递交</w:t>
      </w:r>
    </w:p>
    <w:p>
      <w:pPr>
        <w:spacing w:line="500" w:lineRule="exact"/>
        <w:ind w:firstLine="420"/>
        <w:rPr>
          <w:rFonts w:ascii="宋体"/>
          <w:sz w:val="24"/>
        </w:rPr>
      </w:pPr>
      <w:r>
        <w:rPr>
          <w:rFonts w:hint="eastAsia" w:ascii="宋体" w:hAnsi="宋体"/>
          <w:sz w:val="24"/>
        </w:rPr>
        <w:t>⑴投标人应在投标开标前将密封合格的投标文件送达开标现场；招标人对开标后送达的投标文件将不予签收。</w:t>
      </w:r>
    </w:p>
    <w:p>
      <w:pPr>
        <w:spacing w:line="500" w:lineRule="exact"/>
        <w:ind w:firstLine="420"/>
        <w:rPr>
          <w:rFonts w:ascii="宋体"/>
          <w:b/>
          <w:sz w:val="24"/>
        </w:rPr>
      </w:pPr>
      <w:r>
        <w:rPr>
          <w:rFonts w:hint="eastAsia" w:ascii="宋体" w:hAnsi="宋体"/>
          <w:b/>
          <w:sz w:val="24"/>
        </w:rPr>
        <w:t>三、开标、评标和定标</w:t>
      </w:r>
    </w:p>
    <w:p>
      <w:pPr>
        <w:spacing w:line="500" w:lineRule="exact"/>
        <w:ind w:firstLine="480" w:firstLineChars="200"/>
        <w:rPr>
          <w:rFonts w:ascii="宋体"/>
          <w:sz w:val="24"/>
        </w:rPr>
      </w:pPr>
      <w:r>
        <w:rPr>
          <w:rFonts w:ascii="宋体" w:hAnsi="宋体"/>
          <w:sz w:val="24"/>
        </w:rPr>
        <w:t>1</w:t>
      </w:r>
      <w:r>
        <w:rPr>
          <w:rFonts w:hint="eastAsia" w:ascii="宋体" w:hAnsi="宋体"/>
          <w:sz w:val="24"/>
        </w:rPr>
        <w:t>．我司招标领导小组按投标邀请中规定的时间和地点开标，届时请投标人授权一名代表参加商务标的开标，拟派项目负责人作投标陈述并作为答辩代表参加项目答辩。</w:t>
      </w:r>
    </w:p>
    <w:p>
      <w:pPr>
        <w:spacing w:line="500" w:lineRule="exact"/>
        <w:ind w:firstLine="480" w:firstLineChars="200"/>
        <w:rPr>
          <w:rFonts w:ascii="宋体"/>
          <w:sz w:val="24"/>
        </w:rPr>
      </w:pPr>
      <w:r>
        <w:rPr>
          <w:rFonts w:ascii="宋体" w:hAnsi="宋体"/>
          <w:sz w:val="24"/>
        </w:rPr>
        <w:t>2</w:t>
      </w:r>
      <w:r>
        <w:rPr>
          <w:rFonts w:hint="eastAsia" w:ascii="宋体" w:hAnsi="宋体"/>
          <w:sz w:val="24"/>
        </w:rPr>
        <w:t>．开标时，查验投标文件的密封状况，确认无误后拆封唱标。</w:t>
      </w:r>
    </w:p>
    <w:p>
      <w:pPr>
        <w:spacing w:line="500" w:lineRule="exact"/>
        <w:rPr>
          <w:rFonts w:ascii="宋体" w:hAnsi="宋体" w:cs="宋体"/>
          <w:b/>
          <w:kern w:val="0"/>
          <w:sz w:val="24"/>
        </w:rPr>
      </w:pPr>
      <w:r>
        <w:rPr>
          <w:rFonts w:hint="eastAsia" w:ascii="宋体" w:hAnsi="宋体"/>
          <w:kern w:val="0"/>
          <w:sz w:val="24"/>
        </w:rPr>
        <w:t xml:space="preserve">    </w:t>
      </w:r>
      <w:r>
        <w:rPr>
          <w:rFonts w:hint="eastAsia" w:ascii="宋体" w:hAnsi="宋体"/>
          <w:b/>
          <w:kern w:val="0"/>
          <w:sz w:val="24"/>
        </w:rPr>
        <w:t>3.</w:t>
      </w:r>
      <w:r>
        <w:rPr>
          <w:rFonts w:hint="eastAsia" w:ascii="宋体" w:hAnsi="宋体" w:cs="宋体"/>
          <w:b/>
          <w:kern w:val="0"/>
          <w:sz w:val="24"/>
        </w:rPr>
        <w:t>本项目评标采用有效最低价法，即资格审查、商务标、技术标均评审通过无错项、缺漏项的有效投标报价最低的投标人为对应标段的中标候选人。</w:t>
      </w:r>
    </w:p>
    <w:p>
      <w:pPr>
        <w:spacing w:line="500" w:lineRule="exact"/>
        <w:rPr>
          <w:rFonts w:ascii="宋体" w:hAnsi="宋体"/>
          <w:kern w:val="0"/>
          <w:sz w:val="24"/>
        </w:rPr>
      </w:pPr>
      <w:r>
        <w:rPr>
          <w:rFonts w:hint="eastAsia" w:ascii="宋体" w:hAnsi="宋体"/>
          <w:kern w:val="0"/>
          <w:sz w:val="24"/>
        </w:rPr>
        <w:t xml:space="preserve">    4.招标人不承诺报价最低者可以中标，也不向落标的投标人退还投标文件。</w:t>
      </w:r>
    </w:p>
    <w:p>
      <w:pPr>
        <w:spacing w:line="500" w:lineRule="exact"/>
        <w:rPr>
          <w:rFonts w:ascii="宋体" w:hAnsi="宋体"/>
          <w:kern w:val="0"/>
          <w:sz w:val="24"/>
        </w:rPr>
      </w:pPr>
      <w:r>
        <w:rPr>
          <w:rFonts w:hint="eastAsia" w:ascii="宋体" w:hAnsi="宋体"/>
          <w:kern w:val="0"/>
          <w:sz w:val="24"/>
        </w:rPr>
        <w:t xml:space="preserve">    5.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00" w:lineRule="exact"/>
        <w:ind w:firstLine="240" w:firstLineChars="100"/>
        <w:rPr>
          <w:rFonts w:ascii="宋体"/>
          <w:sz w:val="24"/>
        </w:rPr>
      </w:pPr>
      <w:r>
        <w:rPr>
          <w:rFonts w:ascii="宋体" w:hAnsi="宋体"/>
          <w:sz w:val="24"/>
        </w:rPr>
        <w:t>6</w:t>
      </w:r>
      <w:r>
        <w:rPr>
          <w:rFonts w:hint="eastAsia" w:ascii="宋体" w:hAnsi="宋体"/>
          <w:sz w:val="24"/>
        </w:rPr>
        <w:t>．废标：</w:t>
      </w:r>
    </w:p>
    <w:p>
      <w:pPr>
        <w:spacing w:line="500" w:lineRule="exact"/>
        <w:ind w:firstLine="240" w:firstLineChars="100"/>
        <w:rPr>
          <w:rFonts w:ascii="宋体"/>
          <w:sz w:val="24"/>
        </w:rPr>
      </w:pPr>
      <w:r>
        <w:rPr>
          <w:rFonts w:hint="eastAsia" w:ascii="宋体" w:hAnsi="宋体"/>
          <w:sz w:val="24"/>
        </w:rPr>
        <w:t>有下列情况之一的投标文件为废标：</w:t>
      </w:r>
    </w:p>
    <w:p>
      <w:pPr>
        <w:spacing w:line="500" w:lineRule="exact"/>
        <w:ind w:firstLine="240" w:firstLineChars="100"/>
        <w:rPr>
          <w:rFonts w:ascii="宋体"/>
          <w:sz w:val="24"/>
        </w:rPr>
      </w:pPr>
      <w:r>
        <w:rPr>
          <w:rFonts w:hint="eastAsia" w:ascii="宋体" w:hAnsi="宋体"/>
          <w:sz w:val="24"/>
        </w:rPr>
        <w:t>⑴未按本须知投标要求进行报价的；</w:t>
      </w:r>
    </w:p>
    <w:p>
      <w:pPr>
        <w:spacing w:line="500" w:lineRule="exact"/>
        <w:ind w:firstLine="240" w:firstLineChars="100"/>
        <w:rPr>
          <w:rFonts w:ascii="宋体"/>
          <w:sz w:val="24"/>
        </w:rPr>
      </w:pPr>
      <w:r>
        <w:rPr>
          <w:rFonts w:hint="eastAsia" w:ascii="宋体" w:hAnsi="宋体"/>
          <w:sz w:val="24"/>
        </w:rPr>
        <w:t>⑵未加盖投标人公章的；</w:t>
      </w:r>
    </w:p>
    <w:p>
      <w:pPr>
        <w:spacing w:line="500" w:lineRule="exact"/>
        <w:ind w:firstLine="240" w:firstLineChars="100"/>
        <w:rPr>
          <w:rFonts w:ascii="宋体"/>
          <w:sz w:val="24"/>
        </w:rPr>
      </w:pPr>
      <w:r>
        <w:rPr>
          <w:rFonts w:hint="eastAsia" w:ascii="宋体" w:hAnsi="宋体"/>
          <w:sz w:val="24"/>
        </w:rPr>
        <w:t>⑶投标文件无法定代表人或委托代理人签字、盖章的；</w:t>
      </w:r>
    </w:p>
    <w:p>
      <w:pPr>
        <w:spacing w:line="500" w:lineRule="exact"/>
        <w:ind w:firstLine="240" w:firstLineChars="100"/>
        <w:rPr>
          <w:rFonts w:ascii="宋体"/>
          <w:sz w:val="24"/>
        </w:rPr>
      </w:pPr>
      <w:r>
        <w:rPr>
          <w:rFonts w:hint="eastAsia" w:ascii="宋体" w:hAnsi="宋体"/>
          <w:sz w:val="24"/>
        </w:rPr>
        <w:t>⑷服务不满足招标人要求的；</w:t>
      </w:r>
    </w:p>
    <w:p>
      <w:pPr>
        <w:spacing w:line="500" w:lineRule="exact"/>
        <w:ind w:firstLine="240" w:firstLineChars="100"/>
        <w:rPr>
          <w:rFonts w:ascii="宋体"/>
          <w:sz w:val="24"/>
        </w:rPr>
      </w:pPr>
      <w:r>
        <w:rPr>
          <w:rFonts w:hint="eastAsia" w:ascii="宋体" w:hAnsi="宋体"/>
          <w:sz w:val="24"/>
        </w:rPr>
        <w:t>⑸投标文件字迹潦草、模糊致使无法辨认的，章节混乱，提供的产品参数证明文件无醒目标识，严重影响专家评标的；</w:t>
      </w:r>
    </w:p>
    <w:p>
      <w:pPr>
        <w:spacing w:line="500" w:lineRule="exact"/>
        <w:ind w:firstLine="240" w:firstLineChars="100"/>
        <w:rPr>
          <w:rFonts w:ascii="宋体"/>
          <w:sz w:val="24"/>
        </w:rPr>
      </w:pPr>
      <w:r>
        <w:rPr>
          <w:rFonts w:hint="eastAsia" w:ascii="宋体" w:hAnsi="宋体"/>
          <w:sz w:val="24"/>
        </w:rPr>
        <w:t>⑹投标单位在一份投标文件中，报有两个或多个不同报价，且未书面声明以哪个报价为准的；</w:t>
      </w:r>
    </w:p>
    <w:p>
      <w:pPr>
        <w:spacing w:line="500" w:lineRule="exact"/>
        <w:ind w:firstLine="240" w:firstLineChars="100"/>
        <w:rPr>
          <w:rFonts w:ascii="宋体"/>
          <w:sz w:val="24"/>
        </w:rPr>
      </w:pPr>
      <w:r>
        <w:rPr>
          <w:rFonts w:hint="eastAsia" w:ascii="宋体" w:hAnsi="宋体"/>
          <w:sz w:val="24"/>
        </w:rPr>
        <w:t>⑺投标文件存在缺项、漏项的；</w:t>
      </w:r>
    </w:p>
    <w:p>
      <w:pPr>
        <w:spacing w:line="500" w:lineRule="exact"/>
        <w:ind w:firstLine="240" w:firstLineChars="100"/>
        <w:rPr>
          <w:rFonts w:ascii="宋体"/>
          <w:sz w:val="24"/>
        </w:rPr>
      </w:pPr>
      <w:r>
        <w:rPr>
          <w:rFonts w:hint="eastAsia" w:ascii="宋体" w:hAnsi="宋体"/>
          <w:sz w:val="24"/>
        </w:rPr>
        <w:t>⑻评委委员会评议认为构成废标的其他情况；</w:t>
      </w:r>
    </w:p>
    <w:p>
      <w:pPr>
        <w:spacing w:line="500" w:lineRule="exact"/>
        <w:ind w:firstLine="240" w:firstLineChars="100"/>
        <w:rPr>
          <w:rFonts w:ascii="宋体"/>
          <w:sz w:val="24"/>
        </w:rPr>
      </w:pPr>
      <w:r>
        <w:rPr>
          <w:rFonts w:hint="eastAsia" w:ascii="宋体" w:hAnsi="宋体"/>
          <w:sz w:val="24"/>
        </w:rPr>
        <w:t>⑼项目负责人未参加现场答辩的；</w:t>
      </w:r>
    </w:p>
    <w:p>
      <w:pPr>
        <w:spacing w:line="500" w:lineRule="exact"/>
        <w:ind w:firstLine="241" w:firstLineChars="100"/>
        <w:rPr>
          <w:rFonts w:ascii="宋体"/>
          <w:b/>
          <w:sz w:val="24"/>
        </w:rPr>
      </w:pPr>
      <w:r>
        <w:rPr>
          <w:rFonts w:hint="eastAsia" w:ascii="宋体" w:hAnsi="宋体"/>
          <w:b/>
          <w:sz w:val="24"/>
        </w:rPr>
        <w:t>⑽其他未实质性响应招标文件要求的。</w:t>
      </w:r>
    </w:p>
    <w:p>
      <w:pPr>
        <w:spacing w:line="500" w:lineRule="exact"/>
        <w:rPr>
          <w:rFonts w:ascii="宋体" w:hAnsi="宋体"/>
          <w:bCs/>
          <w:kern w:val="0"/>
          <w:sz w:val="24"/>
        </w:rPr>
      </w:pPr>
      <w:r>
        <w:rPr>
          <w:rFonts w:hint="eastAsia" w:ascii="宋体" w:hAnsi="宋体"/>
          <w:kern w:val="0"/>
          <w:sz w:val="24"/>
        </w:rPr>
        <w:t xml:space="preserve">  </w:t>
      </w:r>
      <w:r>
        <w:rPr>
          <w:rFonts w:hint="eastAsia" w:ascii="宋体" w:hAnsi="宋体"/>
          <w:bCs/>
          <w:kern w:val="0"/>
          <w:sz w:val="24"/>
        </w:rPr>
        <w:t>7.二次招标</w:t>
      </w:r>
    </w:p>
    <w:p>
      <w:pPr>
        <w:spacing w:line="500" w:lineRule="exact"/>
        <w:rPr>
          <w:rFonts w:ascii="宋体" w:hAnsi="宋体"/>
          <w:kern w:val="0"/>
          <w:sz w:val="24"/>
        </w:rPr>
      </w:pPr>
      <w:r>
        <w:rPr>
          <w:rFonts w:hint="eastAsia" w:ascii="宋体" w:hAnsi="宋体"/>
          <w:kern w:val="0"/>
          <w:sz w:val="24"/>
        </w:rPr>
        <w:t xml:space="preserve">  7.1如项目流标，招标人根据情况可能发布二次公告，进行二次招标。二次招标如符合专业条件的投标人或对招标文件作实质响应的投标人只有两家，评委会将视情况现场转为竞争性谈判；</w:t>
      </w:r>
    </w:p>
    <w:p>
      <w:pPr>
        <w:spacing w:line="500" w:lineRule="exact"/>
        <w:rPr>
          <w:rFonts w:ascii="宋体" w:hAnsi="宋体"/>
          <w:kern w:val="0"/>
          <w:sz w:val="24"/>
        </w:rPr>
      </w:pPr>
      <w:r>
        <w:rPr>
          <w:rFonts w:hint="eastAsia" w:ascii="宋体" w:hAnsi="宋体"/>
          <w:kern w:val="0"/>
          <w:sz w:val="24"/>
        </w:rPr>
        <w:t xml:space="preserve">  7.2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00" w:lineRule="exact"/>
        <w:rPr>
          <w:rFonts w:ascii="宋体" w:hAnsi="宋体"/>
          <w:kern w:val="0"/>
          <w:sz w:val="24"/>
        </w:rPr>
      </w:pPr>
      <w:r>
        <w:rPr>
          <w:rFonts w:hint="eastAsia" w:ascii="宋体" w:hAnsi="宋体"/>
          <w:kern w:val="0"/>
          <w:sz w:val="24"/>
        </w:rPr>
        <w:t xml:space="preserve">  7.3前次招标流标后，投标人如继续参加二次投标，投标保证金无需重复缴纳。如不参加二次投标的的投标人须书面告知招标人，招标人在规定时间内予以退还投标保证金。</w:t>
      </w:r>
    </w:p>
    <w:p>
      <w:pPr>
        <w:spacing w:line="500" w:lineRule="exact"/>
        <w:rPr>
          <w:rFonts w:ascii="宋体" w:hAnsi="宋体"/>
          <w:kern w:val="0"/>
          <w:sz w:val="24"/>
        </w:rPr>
      </w:pPr>
      <w:r>
        <w:rPr>
          <w:rFonts w:hint="eastAsia" w:ascii="宋体" w:hAnsi="宋体"/>
          <w:kern w:val="0"/>
          <w:sz w:val="24"/>
        </w:rPr>
        <w:t xml:space="preserve"> 8.招标人依据公开、公平、公正原则进行评定标，投标人若认为本次招标过程中存在有违“三公”原则的，可向监标人书面投诉（只接受书面投诉）；联系地址：合肥市黄山路596号楼1503室  百大集团纪检监察室。</w:t>
      </w:r>
    </w:p>
    <w:p>
      <w:pPr>
        <w:spacing w:line="500" w:lineRule="exact"/>
        <w:ind w:firstLine="236" w:firstLineChars="98"/>
        <w:rPr>
          <w:rFonts w:ascii="宋体"/>
          <w:b/>
          <w:sz w:val="24"/>
        </w:rPr>
      </w:pPr>
      <w:r>
        <w:rPr>
          <w:rFonts w:hint="eastAsia" w:ascii="宋体" w:hAnsi="宋体"/>
          <w:b/>
          <w:sz w:val="24"/>
        </w:rPr>
        <w:t>四、服务合同的确定</w:t>
      </w:r>
    </w:p>
    <w:p>
      <w:pPr>
        <w:spacing w:line="500" w:lineRule="exact"/>
        <w:ind w:firstLine="240" w:firstLineChars="100"/>
        <w:rPr>
          <w:rFonts w:ascii="宋体"/>
          <w:sz w:val="24"/>
        </w:rPr>
      </w:pPr>
      <w:r>
        <w:rPr>
          <w:rFonts w:ascii="宋体" w:hAnsi="宋体"/>
          <w:sz w:val="24"/>
        </w:rPr>
        <w:t>1.</w:t>
      </w:r>
      <w:r>
        <w:rPr>
          <w:rFonts w:hint="eastAsia" w:ascii="宋体" w:hAnsi="宋体"/>
          <w:sz w:val="24"/>
        </w:rPr>
        <w:t>确定中标人及相关事宜后，甲方（招标人）、乙方（中标人）签订服务合同；</w:t>
      </w:r>
    </w:p>
    <w:p>
      <w:pPr>
        <w:spacing w:line="500" w:lineRule="exact"/>
        <w:ind w:firstLine="240" w:firstLineChars="100"/>
        <w:rPr>
          <w:rFonts w:ascii="宋体"/>
          <w:sz w:val="24"/>
        </w:rPr>
      </w:pPr>
      <w:r>
        <w:rPr>
          <w:rFonts w:ascii="宋体" w:hAnsi="宋体"/>
          <w:sz w:val="24"/>
        </w:rPr>
        <w:t>2.</w:t>
      </w:r>
      <w:r>
        <w:rPr>
          <w:rFonts w:hint="eastAsia" w:ascii="宋体" w:hAnsi="宋体"/>
          <w:sz w:val="24"/>
        </w:rPr>
        <w:t>招标文件、中标人的投标文件（含澄清文件）均为签订合同不可分割的一部分；</w:t>
      </w:r>
    </w:p>
    <w:p>
      <w:pPr>
        <w:spacing w:line="500" w:lineRule="exact"/>
        <w:ind w:firstLine="240" w:firstLineChars="100"/>
        <w:rPr>
          <w:rFonts w:ascii="宋体" w:hAnsi="宋体"/>
          <w:sz w:val="24"/>
        </w:rPr>
      </w:pPr>
      <w:r>
        <w:rPr>
          <w:rFonts w:ascii="宋体" w:hAnsi="宋体"/>
          <w:sz w:val="24"/>
        </w:rPr>
        <w:t>3.</w:t>
      </w:r>
      <w:r>
        <w:rPr>
          <w:rFonts w:hint="eastAsia" w:ascii="宋体" w:hAnsi="宋体"/>
          <w:sz w:val="24"/>
        </w:rPr>
        <w:t>无特殊原因乙方拒不履行合同，招标方可单方面取消其中标资格，并追究违约责任，且我公司将拒不接洽随后的同类型招标。</w:t>
      </w:r>
    </w:p>
    <w:p>
      <w:pPr>
        <w:spacing w:line="500" w:lineRule="exact"/>
        <w:ind w:firstLine="236" w:firstLineChars="98"/>
        <w:rPr>
          <w:rFonts w:ascii="宋体" w:hAnsi="宋体"/>
          <w:b/>
          <w:sz w:val="24"/>
        </w:rPr>
      </w:pPr>
      <w:r>
        <w:rPr>
          <w:rFonts w:hint="eastAsia" w:ascii="宋体" w:hAnsi="宋体"/>
          <w:b/>
          <w:sz w:val="24"/>
        </w:rPr>
        <w:t>五、履约保证金</w:t>
      </w:r>
    </w:p>
    <w:p>
      <w:pPr>
        <w:spacing w:line="500" w:lineRule="exact"/>
        <w:ind w:firstLine="240" w:firstLineChars="100"/>
        <w:rPr>
          <w:rFonts w:ascii="宋体" w:hAnsi="宋体"/>
          <w:dstrike/>
          <w:sz w:val="24"/>
        </w:rPr>
      </w:pPr>
      <w:r>
        <w:rPr>
          <w:rFonts w:hint="eastAsia" w:ascii="宋体" w:hAnsi="宋体"/>
          <w:sz w:val="24"/>
        </w:rPr>
        <w:t>1.签订合同前，投标人应提交履约保证金。履约保证金金额、收受方式及收受人见投标人须知前附表规定。</w:t>
      </w:r>
    </w:p>
    <w:p>
      <w:pPr>
        <w:spacing w:line="500" w:lineRule="exact"/>
        <w:ind w:firstLine="240" w:firstLineChars="100"/>
        <w:rPr>
          <w:rFonts w:ascii="宋体" w:hAnsi="宋体"/>
          <w:sz w:val="24"/>
        </w:rPr>
      </w:pPr>
      <w:r>
        <w:rPr>
          <w:rFonts w:hint="eastAsia" w:ascii="宋体" w:hAnsi="宋体"/>
          <w:sz w:val="24"/>
        </w:rPr>
        <w:t>2.投标人须知前附表约定收取定额履约保证金或免收履约保证金的，从其规定。</w:t>
      </w:r>
    </w:p>
    <w:p>
      <w:pPr>
        <w:spacing w:line="500" w:lineRule="exact"/>
        <w:ind w:firstLine="240" w:firstLineChars="100"/>
        <w:rPr>
          <w:rFonts w:ascii="宋体" w:hAnsi="宋体"/>
          <w:sz w:val="24"/>
        </w:rPr>
      </w:pPr>
      <w:r>
        <w:rPr>
          <w:rFonts w:hint="eastAsia" w:ascii="宋体" w:hAnsi="宋体"/>
          <w:sz w:val="24"/>
        </w:rPr>
        <w:t>3.如果中标人未按规定交纳履约保证金，招标人有权取消该授标，并没收其投标保证金。在此情况下招标人可将该标授予其下一个中标候选人，或重新招标。</w:t>
      </w:r>
    </w:p>
    <w:p>
      <w:pPr>
        <w:spacing w:line="440" w:lineRule="exact"/>
        <w:ind w:firstLine="240" w:firstLineChars="100"/>
        <w:rPr>
          <w:rFonts w:ascii="宋体"/>
          <w:sz w:val="24"/>
        </w:rPr>
      </w:pPr>
    </w:p>
    <w:p>
      <w:pPr>
        <w:rPr>
          <w:rFonts w:ascii="宋体"/>
          <w:sz w:val="24"/>
        </w:rPr>
      </w:pPr>
      <w:r>
        <w:rPr>
          <w:rFonts w:hint="eastAsia" w:ascii="宋体"/>
          <w:sz w:val="24"/>
        </w:rPr>
        <w:t xml:space="preserve">                                   </w:t>
      </w: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pStyle w:val="2"/>
        <w:numPr>
          <w:ilvl w:val="0"/>
          <w:numId w:val="0"/>
        </w:numPr>
      </w:pPr>
      <w:bookmarkStart w:id="4" w:name="_Toc29394978"/>
      <w:r>
        <w:rPr>
          <w:rFonts w:hint="eastAsia"/>
        </w:rPr>
        <w:t>第四章</w:t>
      </w:r>
      <w:r>
        <w:t xml:space="preserve"> </w:t>
      </w:r>
      <w:r>
        <w:rPr>
          <w:rFonts w:hint="eastAsia"/>
        </w:rPr>
        <w:t>招标需求</w:t>
      </w:r>
      <w:bookmarkEnd w:id="4"/>
    </w:p>
    <w:p>
      <w:pPr>
        <w:spacing w:line="360" w:lineRule="auto"/>
        <w:rPr>
          <w:rFonts w:ascii="宋体" w:hAnsi="宋体"/>
          <w:sz w:val="24"/>
          <w:szCs w:val="28"/>
        </w:rPr>
      </w:pPr>
      <w:bookmarkStart w:id="5" w:name="_Toc484762213"/>
      <w:bookmarkStart w:id="6" w:name="_Toc486433794"/>
      <w:bookmarkStart w:id="7" w:name="_Toc486253611"/>
      <w:bookmarkStart w:id="8" w:name="_Toc486254518"/>
      <w:r>
        <w:rPr>
          <w:rFonts w:hint="eastAsia" w:ascii="宋体" w:hAnsi="宋体"/>
          <w:sz w:val="24"/>
          <w:szCs w:val="28"/>
        </w:rPr>
        <w:t>前注：</w:t>
      </w:r>
    </w:p>
    <w:p>
      <w:pPr>
        <w:pStyle w:val="46"/>
        <w:numPr>
          <w:ilvl w:val="0"/>
          <w:numId w:val="0"/>
        </w:numPr>
        <w:spacing w:line="360" w:lineRule="auto"/>
        <w:ind w:leftChars="0"/>
        <w:rPr>
          <w:rFonts w:ascii="宋体" w:hAnsi="宋体"/>
          <w:sz w:val="24"/>
        </w:rPr>
      </w:pPr>
      <w:r>
        <w:rPr>
          <w:rFonts w:hint="eastAsia" w:ascii="宋体" w:hAnsi="宋体"/>
          <w:sz w:val="24"/>
          <w:lang w:val="en-US" w:eastAsia="zh-CN"/>
        </w:rPr>
        <w:t>1.</w:t>
      </w:r>
      <w:r>
        <w:rPr>
          <w:rFonts w:hint="eastAsia" w:ascii="宋体" w:hAnsi="宋体"/>
          <w:sz w:val="24"/>
        </w:rPr>
        <w:t>本需求中提出的技术方案仅为参考，如无明确限制，投标人可以进行优化，</w:t>
      </w:r>
    </w:p>
    <w:p>
      <w:pPr>
        <w:spacing w:line="360" w:lineRule="auto"/>
        <w:rPr>
          <w:rFonts w:ascii="宋体" w:hAnsi="宋体"/>
          <w:sz w:val="24"/>
        </w:rPr>
      </w:pPr>
      <w:r>
        <w:rPr>
          <w:rFonts w:hint="eastAsia" w:ascii="宋体" w:hAnsi="宋体"/>
          <w:sz w:val="24"/>
        </w:rPr>
        <w:t>提供满足用户实际需要的更优（或者性能实质上不低于的）技术方案或者设备配置，且此方案或配置须经评标委员会审核认可；</w:t>
      </w:r>
    </w:p>
    <w:p>
      <w:pPr>
        <w:spacing w:line="360" w:lineRule="auto"/>
        <w:rPr>
          <w:rFonts w:ascii="宋体" w:hAnsi="宋体"/>
          <w:sz w:val="24"/>
        </w:rPr>
      </w:pPr>
      <w:r>
        <w:rPr>
          <w:rFonts w:hint="eastAsia" w:ascii="宋体" w:hAnsi="宋体"/>
          <w:sz w:val="24"/>
        </w:rPr>
        <w:t>2.</w:t>
      </w:r>
      <w:r>
        <w:rPr>
          <w:rFonts w:hint="eastAsia" w:ascii="宋体" w:hAnsi="宋体"/>
          <w:sz w:val="24"/>
          <w:szCs w:val="28"/>
        </w:rPr>
        <w:t>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r>
        <w:rPr>
          <w:rFonts w:hint="eastAsia" w:ascii="宋体" w:hAnsi="宋体"/>
          <w:b/>
          <w:sz w:val="24"/>
        </w:rPr>
        <w:cr/>
      </w:r>
      <w:r>
        <w:rPr>
          <w:rFonts w:hint="eastAsia" w:ascii="宋体" w:hAnsi="宋体"/>
          <w:bCs/>
          <w:sz w:val="24"/>
        </w:rPr>
        <w:t>3.</w:t>
      </w:r>
      <w:r>
        <w:rPr>
          <w:rFonts w:hint="eastAsia" w:ascii="宋体" w:hAnsi="宋体"/>
          <w:sz w:val="24"/>
        </w:rPr>
        <w:t>投标人应当在投标文件中列出完成本项目并通过验收所需的所有各项服务等明细表及全部费用。中标人必须确保整体通过用户方及有关主管部门验收,所发生的验收费用由中标人承担；投标人应自行踏勘施工建设现场，如投标人因未及时踏勘现场而导致的报价缺项漏项废标、或中标后无法完工，投标人自行承担一切后果。</w:t>
      </w:r>
    </w:p>
    <w:p>
      <w:pPr>
        <w:spacing w:line="360" w:lineRule="auto"/>
        <w:rPr>
          <w:rFonts w:ascii="宋体" w:hAnsi="宋体"/>
          <w:b/>
          <w:bCs/>
          <w:sz w:val="24"/>
        </w:rPr>
      </w:pPr>
      <w:r>
        <w:rPr>
          <w:rFonts w:hint="eastAsia" w:ascii="宋体" w:hAnsi="宋体"/>
          <w:b/>
          <w:bCs/>
          <w:sz w:val="24"/>
        </w:rPr>
        <w:t>4.改造采取边营业边施工的方式，改造期间新旧计算机网络系统、机房工程系统须并行运行，不得影响收银系统的正常使用。</w:t>
      </w:r>
    </w:p>
    <w:p>
      <w:pPr>
        <w:rPr>
          <w:rFonts w:ascii="宋体" w:hAnsi="宋体"/>
          <w:sz w:val="24"/>
        </w:rPr>
      </w:pPr>
    </w:p>
    <w:p>
      <w:pPr>
        <w:pStyle w:val="4"/>
        <w:keepNext w:val="0"/>
        <w:widowControl w:val="0"/>
        <w:spacing w:line="360" w:lineRule="auto"/>
        <w:rPr>
          <w:rFonts w:hAnsi="宋体"/>
          <w:sz w:val="24"/>
          <w:szCs w:val="24"/>
        </w:rPr>
      </w:pPr>
      <w:bookmarkStart w:id="9" w:name="_Toc29394979"/>
      <w:r>
        <w:rPr>
          <w:rFonts w:hint="eastAsia" w:hAnsi="宋体"/>
          <w:sz w:val="24"/>
          <w:szCs w:val="24"/>
        </w:rPr>
        <w:t>一、项目概述</w:t>
      </w:r>
      <w:bookmarkEnd w:id="5"/>
      <w:bookmarkEnd w:id="6"/>
      <w:bookmarkEnd w:id="7"/>
      <w:bookmarkEnd w:id="8"/>
      <w:bookmarkEnd w:id="9"/>
    </w:p>
    <w:p>
      <w:pPr>
        <w:widowControl/>
        <w:spacing w:line="360" w:lineRule="auto"/>
        <w:ind w:firstLine="240" w:firstLineChars="100"/>
        <w:jc w:val="left"/>
        <w:rPr>
          <w:rFonts w:ascii="宋体" w:hAnsi="宋体"/>
          <w:sz w:val="24"/>
        </w:rPr>
      </w:pPr>
      <w:r>
        <w:rPr>
          <w:rFonts w:hint="eastAsia" w:ascii="宋体" w:hAnsi="宋体"/>
          <w:sz w:val="24"/>
        </w:rPr>
        <w:t>合肥百货大楼集团商业大厦有限责任公司，位于金寨路与徽州大道交口东南角，整体建筑为框架结构，总建筑面积约27723平方米，楼层高8层，公司一至六楼经营百货、服装与家电产品，负一楼为合家福超市，总经营面积约1.8万平米。公司计划2020年2月开始对楼体内外装饰升级改造，弱电系统升级改造同步进行。</w:t>
      </w:r>
    </w:p>
    <w:p>
      <w:pPr>
        <w:spacing w:line="360" w:lineRule="auto"/>
        <w:ind w:firstLine="480"/>
        <w:rPr>
          <w:rFonts w:ascii="宋体" w:hAnsi="宋体"/>
          <w:sz w:val="24"/>
        </w:rPr>
      </w:pPr>
      <w:r>
        <w:rPr>
          <w:rFonts w:hint="eastAsia" w:ascii="宋体" w:hAnsi="宋体"/>
          <w:sz w:val="24"/>
        </w:rPr>
        <w:t>合百集团商业大厦弱电系统升级改造遵循“投资合理，统一规划、立足现在、适度超前”的指导思想，以满足目前应用为基础，同时考虑到今后智能化技术的发展趋势，改造后的广播、监控系统需具备技术先进性、经济实用性、结构合理性、使用可靠稳定性、可扩展性。</w:t>
      </w:r>
    </w:p>
    <w:p>
      <w:pPr>
        <w:spacing w:line="360" w:lineRule="auto"/>
        <w:ind w:firstLine="480"/>
        <w:rPr>
          <w:rFonts w:ascii="宋体" w:hAnsi="宋体"/>
          <w:sz w:val="24"/>
        </w:rPr>
      </w:pPr>
      <w:r>
        <w:rPr>
          <w:rFonts w:hint="eastAsia" w:ascii="宋体" w:hAnsi="宋体"/>
          <w:sz w:val="24"/>
        </w:rPr>
        <w:t>本次项目改造主要包括以下方面内容：</w:t>
      </w:r>
      <w:r>
        <w:rPr>
          <w:rFonts w:ascii="宋体" w:hAnsi="宋体"/>
          <w:sz w:val="24"/>
        </w:rPr>
        <w:t xml:space="preserve"> </w:t>
      </w:r>
    </w:p>
    <w:p>
      <w:pPr>
        <w:spacing w:line="360" w:lineRule="auto"/>
        <w:ind w:left="420" w:firstLine="420"/>
        <w:rPr>
          <w:rFonts w:ascii="宋体" w:hAnsi="宋体"/>
          <w:sz w:val="24"/>
        </w:rPr>
      </w:pPr>
      <w:r>
        <w:rPr>
          <w:rFonts w:hint="eastAsia" w:ascii="宋体" w:hAnsi="宋体"/>
          <w:b/>
          <w:sz w:val="24"/>
        </w:rPr>
        <w:t>※</w:t>
      </w:r>
      <w:r>
        <w:rPr>
          <w:rFonts w:hint="eastAsia" w:ascii="宋体" w:hAnsi="宋体"/>
          <w:sz w:val="24"/>
        </w:rPr>
        <w:t xml:space="preserve"> 综合布线系统；</w:t>
      </w:r>
    </w:p>
    <w:p>
      <w:pPr>
        <w:spacing w:line="360" w:lineRule="auto"/>
        <w:ind w:left="420" w:firstLine="420"/>
        <w:rPr>
          <w:rFonts w:ascii="宋体" w:hAnsi="宋体"/>
          <w:sz w:val="24"/>
        </w:rPr>
      </w:pPr>
      <w:r>
        <w:rPr>
          <w:rFonts w:hint="eastAsia" w:ascii="宋体" w:hAnsi="宋体"/>
          <w:b/>
          <w:sz w:val="24"/>
        </w:rPr>
        <w:t>※</w:t>
      </w:r>
      <w:r>
        <w:rPr>
          <w:rFonts w:hint="eastAsia" w:ascii="宋体" w:hAnsi="宋体"/>
          <w:sz w:val="24"/>
        </w:rPr>
        <w:t xml:space="preserve"> 语音系统（三网）；</w:t>
      </w:r>
    </w:p>
    <w:p>
      <w:pPr>
        <w:spacing w:line="360" w:lineRule="auto"/>
        <w:ind w:left="420" w:firstLine="420"/>
        <w:rPr>
          <w:rFonts w:ascii="宋体" w:hAnsi="宋体"/>
          <w:sz w:val="24"/>
        </w:rPr>
      </w:pPr>
      <w:r>
        <w:rPr>
          <w:rFonts w:hint="eastAsia" w:ascii="宋体" w:hAnsi="宋体"/>
          <w:b/>
          <w:sz w:val="24"/>
        </w:rPr>
        <w:t>※</w:t>
      </w:r>
      <w:r>
        <w:rPr>
          <w:rFonts w:hint="eastAsia" w:ascii="宋体" w:hAnsi="宋体"/>
          <w:sz w:val="24"/>
        </w:rPr>
        <w:t xml:space="preserve"> 计算机网络系统</w:t>
      </w:r>
    </w:p>
    <w:p>
      <w:pPr>
        <w:spacing w:line="360" w:lineRule="auto"/>
        <w:ind w:left="420" w:firstLine="420"/>
        <w:rPr>
          <w:rFonts w:ascii="宋体" w:hAnsi="宋体"/>
          <w:sz w:val="24"/>
        </w:rPr>
      </w:pPr>
      <w:r>
        <w:rPr>
          <w:rFonts w:hint="eastAsia" w:ascii="宋体" w:hAnsi="宋体"/>
          <w:b/>
          <w:sz w:val="24"/>
        </w:rPr>
        <w:t>※</w:t>
      </w:r>
      <w:r>
        <w:rPr>
          <w:rFonts w:hint="eastAsia" w:ascii="宋体" w:hAnsi="宋体"/>
          <w:sz w:val="24"/>
        </w:rPr>
        <w:t xml:space="preserve"> 机房工程系统；</w:t>
      </w:r>
    </w:p>
    <w:p>
      <w:pPr>
        <w:spacing w:line="360" w:lineRule="auto"/>
        <w:ind w:left="420" w:firstLine="420"/>
        <w:rPr>
          <w:rFonts w:ascii="宋体" w:hAnsi="宋体"/>
          <w:sz w:val="24"/>
        </w:rPr>
      </w:pPr>
      <w:r>
        <w:rPr>
          <w:rFonts w:hint="eastAsia" w:ascii="宋体" w:hAnsi="宋体"/>
          <w:b/>
          <w:sz w:val="24"/>
        </w:rPr>
        <w:t>※</w:t>
      </w:r>
      <w:r>
        <w:rPr>
          <w:rFonts w:hint="eastAsia" w:ascii="宋体" w:hAnsi="宋体"/>
          <w:sz w:val="24"/>
        </w:rPr>
        <w:t xml:space="preserve"> 安防系统；</w:t>
      </w:r>
    </w:p>
    <w:p>
      <w:pPr>
        <w:spacing w:line="360" w:lineRule="auto"/>
        <w:ind w:left="420" w:firstLine="420"/>
        <w:rPr>
          <w:rFonts w:ascii="宋体" w:hAnsi="宋体"/>
          <w:sz w:val="24"/>
        </w:rPr>
      </w:pPr>
      <w:r>
        <w:rPr>
          <w:rFonts w:hint="eastAsia" w:ascii="宋体" w:hAnsi="宋体"/>
          <w:b/>
          <w:sz w:val="24"/>
        </w:rPr>
        <w:t>※</w:t>
      </w:r>
      <w:r>
        <w:rPr>
          <w:rFonts w:hint="eastAsia" w:ascii="宋体" w:hAnsi="宋体"/>
          <w:sz w:val="24"/>
        </w:rPr>
        <w:t xml:space="preserve"> 广播系统；</w:t>
      </w:r>
    </w:p>
    <w:p>
      <w:pPr>
        <w:pStyle w:val="4"/>
        <w:spacing w:line="360" w:lineRule="auto"/>
        <w:rPr>
          <w:rFonts w:hAnsi="宋体"/>
          <w:sz w:val="24"/>
          <w:szCs w:val="24"/>
        </w:rPr>
      </w:pPr>
      <w:bookmarkStart w:id="10" w:name="_Toc29394980"/>
      <w:bookmarkStart w:id="11" w:name="_Toc484762215"/>
      <w:bookmarkStart w:id="12" w:name="_Toc486433796"/>
      <w:bookmarkStart w:id="13" w:name="_Toc486253613"/>
      <w:bookmarkStart w:id="14" w:name="_Toc486254520"/>
      <w:r>
        <w:rPr>
          <w:rFonts w:hint="eastAsia" w:hAnsi="宋体"/>
          <w:sz w:val="24"/>
          <w:szCs w:val="24"/>
        </w:rPr>
        <w:t>二、综合布线系统</w:t>
      </w:r>
      <w:bookmarkEnd w:id="10"/>
    </w:p>
    <w:p>
      <w:pPr>
        <w:spacing w:line="360" w:lineRule="auto"/>
        <w:ind w:firstLine="480"/>
        <w:rPr>
          <w:rFonts w:ascii="宋体" w:hAnsi="宋体"/>
          <w:sz w:val="24"/>
        </w:rPr>
      </w:pPr>
      <w:bookmarkStart w:id="15" w:name="_Toc164505790"/>
      <w:bookmarkStart w:id="16" w:name="_Toc164505707"/>
      <w:bookmarkStart w:id="17" w:name="_Toc167707596"/>
      <w:bookmarkStart w:id="18" w:name="_Toc164505873"/>
      <w:r>
        <w:rPr>
          <w:rFonts w:ascii="宋体" w:hAnsi="宋体"/>
          <w:sz w:val="24"/>
        </w:rPr>
        <w:t>综合布线系统是提供语音、数据和多媒体信息传输的基础平台。随着信息化飞速发展的需要，综合布线系统在办公楼智能化建设中占有非常重要的地位，其为办公楼建立了高速、大容量的信息传输平台，为活动提供了语音、数据、图像等各种信息的高速传输通道。</w:t>
      </w:r>
    </w:p>
    <w:p>
      <w:pPr>
        <w:spacing w:line="360" w:lineRule="auto"/>
        <w:ind w:firstLine="480"/>
        <w:rPr>
          <w:rFonts w:ascii="宋体" w:hAnsi="宋体"/>
          <w:sz w:val="24"/>
        </w:rPr>
      </w:pPr>
      <w:r>
        <w:rPr>
          <w:rFonts w:ascii="宋体" w:hAnsi="宋体"/>
          <w:sz w:val="24"/>
        </w:rPr>
        <w:t>综合布线系统以安全性、完整性、先进性、实用性、经济性、可靠性为原则，选用灵活的星型拓扑结构，每个信息通道通过简单跳线，可以灵活组网，充分体现综合布线的灵活性、扩展性。办公楼智能化建设中的综合布线系统，除了一些共性特征外，还具有一些办公楼个性特征。</w:t>
      </w:r>
    </w:p>
    <w:bookmarkEnd w:id="15"/>
    <w:bookmarkEnd w:id="16"/>
    <w:bookmarkEnd w:id="17"/>
    <w:bookmarkEnd w:id="18"/>
    <w:p>
      <w:pPr>
        <w:spacing w:line="360" w:lineRule="auto"/>
        <w:ind w:firstLine="480"/>
        <w:rPr>
          <w:rFonts w:ascii="宋体" w:hAnsi="宋体"/>
          <w:sz w:val="24"/>
        </w:rPr>
      </w:pPr>
      <w:r>
        <w:rPr>
          <w:rFonts w:ascii="宋体" w:hAnsi="宋体"/>
          <w:sz w:val="24"/>
        </w:rPr>
        <w:t>综合布线系统建设范围为</w:t>
      </w:r>
      <w:r>
        <w:rPr>
          <w:rFonts w:hint="eastAsia" w:ascii="宋体" w:hAnsi="宋体"/>
          <w:sz w:val="24"/>
        </w:rPr>
        <w:t>商业大厦负一楼至8楼</w:t>
      </w:r>
      <w:r>
        <w:rPr>
          <w:rFonts w:ascii="宋体" w:hAnsi="宋体"/>
          <w:sz w:val="24"/>
        </w:rPr>
        <w:t>，系统建设分为</w:t>
      </w:r>
      <w:r>
        <w:rPr>
          <w:rFonts w:hint="eastAsia" w:ascii="宋体" w:hAnsi="宋体"/>
          <w:sz w:val="24"/>
        </w:rPr>
        <w:t>弱电桥架铺设、业务</w:t>
      </w:r>
      <w:r>
        <w:rPr>
          <w:rFonts w:ascii="宋体" w:hAnsi="宋体"/>
          <w:sz w:val="24"/>
        </w:rPr>
        <w:t>网、语音通讯、智能化专网、通讯底盒预留。本</w:t>
      </w:r>
      <w:r>
        <w:rPr>
          <w:rFonts w:hint="eastAsia" w:ascii="宋体" w:hAnsi="宋体"/>
          <w:sz w:val="24"/>
        </w:rPr>
        <w:t>次</w:t>
      </w:r>
      <w:r>
        <w:rPr>
          <w:rFonts w:ascii="宋体" w:hAnsi="宋体"/>
          <w:sz w:val="24"/>
        </w:rPr>
        <w:t>综合布线系统是智能化系统的重要基础传输网络，布线系统方案的质量、科学性、先进性、实用性、保密性关系到智能化系统整体功能的实现。</w:t>
      </w:r>
    </w:p>
    <w:p>
      <w:pPr>
        <w:spacing w:line="360" w:lineRule="auto"/>
        <w:ind w:firstLine="480"/>
        <w:rPr>
          <w:rFonts w:ascii="宋体" w:hAnsi="宋体"/>
          <w:sz w:val="24"/>
        </w:rPr>
      </w:pPr>
      <w:r>
        <w:rPr>
          <w:rFonts w:hint="eastAsia" w:ascii="宋体" w:hAnsi="宋体"/>
          <w:sz w:val="24"/>
        </w:rPr>
        <w:t>弱电桥架至综合布线，桥架至信息点</w:t>
      </w:r>
      <w:r>
        <w:rPr>
          <w:rFonts w:ascii="宋体" w:hAnsi="宋体"/>
          <w:sz w:val="24"/>
        </w:rPr>
        <w:t>JDG</w:t>
      </w:r>
      <w:r>
        <w:rPr>
          <w:rFonts w:hint="eastAsia" w:ascii="宋体" w:hAnsi="宋体"/>
          <w:sz w:val="24"/>
        </w:rPr>
        <w:t>20/</w:t>
      </w:r>
      <w:r>
        <w:rPr>
          <w:rFonts w:ascii="宋体" w:hAnsi="宋体"/>
          <w:sz w:val="24"/>
        </w:rPr>
        <w:t>25管沿吊顶内明敷，再沿墙暗敷至信息插座。对于大开间办公室，将从地板下敷设至插座。水平</w:t>
      </w:r>
      <w:r>
        <w:rPr>
          <w:rFonts w:hint="eastAsia" w:ascii="宋体" w:hAnsi="宋体"/>
          <w:sz w:val="24"/>
        </w:rPr>
        <w:t>六类线缆，</w:t>
      </w:r>
      <w:r>
        <w:rPr>
          <w:rFonts w:ascii="宋体" w:hAnsi="宋体"/>
          <w:sz w:val="24"/>
        </w:rPr>
        <w:t>1～2根穿JDG20，3～4根穿JDG25</w:t>
      </w:r>
      <w:r>
        <w:rPr>
          <w:rFonts w:hint="eastAsia" w:ascii="宋体" w:hAnsi="宋体"/>
          <w:sz w:val="24"/>
        </w:rPr>
        <w:t>，预留接线盒</w:t>
      </w:r>
      <w:r>
        <w:rPr>
          <w:rFonts w:ascii="宋体" w:hAnsi="宋体"/>
          <w:sz w:val="24"/>
        </w:rPr>
        <w:t>为86H60型盒，安装高度底边离地30cm。</w:t>
      </w:r>
    </w:p>
    <w:p>
      <w:pPr>
        <w:spacing w:line="360" w:lineRule="auto"/>
        <w:ind w:firstLine="240" w:firstLineChars="100"/>
        <w:rPr>
          <w:rFonts w:ascii="宋体" w:hAnsi="宋体"/>
          <w:sz w:val="24"/>
        </w:rPr>
      </w:pPr>
      <w:r>
        <w:rPr>
          <w:rFonts w:hint="eastAsia" w:ascii="宋体" w:hAnsi="宋体"/>
          <w:sz w:val="24"/>
        </w:rPr>
        <w:t>工作区的信息点和预留底盒设置要求如下：</w:t>
      </w:r>
    </w:p>
    <w:p>
      <w:pPr>
        <w:spacing w:line="360" w:lineRule="auto"/>
        <w:ind w:firstLine="240" w:firstLineChars="100"/>
        <w:rPr>
          <w:rFonts w:ascii="宋体" w:hAnsi="宋体"/>
          <w:sz w:val="24"/>
        </w:rPr>
      </w:pPr>
      <w:r>
        <w:rPr>
          <w:rFonts w:hint="eastAsia" w:ascii="宋体" w:hAnsi="宋体"/>
          <w:sz w:val="24"/>
        </w:rPr>
        <w:t>⑴大开间办公室、会议室、候会室、休息室、服务间等功能用房按房间布局、使用需求设置相应信息点位和预留底盒。</w:t>
      </w:r>
    </w:p>
    <w:p>
      <w:pPr>
        <w:spacing w:line="360" w:lineRule="auto"/>
        <w:ind w:firstLine="240" w:firstLineChars="100"/>
        <w:rPr>
          <w:rFonts w:ascii="宋体" w:hAnsi="宋体"/>
          <w:sz w:val="24"/>
        </w:rPr>
      </w:pPr>
      <w:r>
        <w:rPr>
          <w:rFonts w:hint="eastAsia" w:ascii="宋体" w:hAnsi="宋体"/>
          <w:sz w:val="24"/>
        </w:rPr>
        <w:t>⑵办公外网、公网电话与弱电桥架相连，共用底盒和双口面板。</w:t>
      </w:r>
    </w:p>
    <w:p>
      <w:pPr>
        <w:spacing w:line="360" w:lineRule="auto"/>
        <w:ind w:firstLine="240" w:firstLineChars="100"/>
        <w:rPr>
          <w:rFonts w:ascii="宋体" w:hAnsi="宋体"/>
          <w:sz w:val="24"/>
        </w:rPr>
      </w:pPr>
      <w:r>
        <w:rPr>
          <w:rFonts w:hint="eastAsia" w:ascii="宋体" w:hAnsi="宋体"/>
          <w:sz w:val="24"/>
        </w:rPr>
        <w:t>⑶智能化专网经弱电桥架与相关弱电设备相连。</w:t>
      </w:r>
    </w:p>
    <w:p>
      <w:pPr>
        <w:spacing w:line="360" w:lineRule="auto"/>
        <w:ind w:firstLine="196" w:firstLineChars="82"/>
        <w:rPr>
          <w:rFonts w:ascii="宋体" w:hAnsi="宋体"/>
          <w:sz w:val="24"/>
        </w:rPr>
      </w:pPr>
      <w:r>
        <w:rPr>
          <w:rFonts w:hint="eastAsia" w:ascii="宋体" w:hAnsi="宋体"/>
          <w:sz w:val="24"/>
        </w:rPr>
        <w:t>⑷在楼层吊顶内预留六类信息插座，用于无线网线设备信号接入使用。</w:t>
      </w:r>
    </w:p>
    <w:p>
      <w:pPr>
        <w:spacing w:line="360" w:lineRule="auto"/>
        <w:ind w:firstLine="480"/>
        <w:rPr>
          <w:rFonts w:ascii="宋体" w:hAnsi="宋体"/>
          <w:sz w:val="24"/>
        </w:rPr>
      </w:pPr>
      <w:r>
        <w:rPr>
          <w:rFonts w:ascii="宋体" w:hAnsi="宋体"/>
          <w:sz w:val="24"/>
        </w:rPr>
        <w:t>综合布线系统本身具有很高的兼容性，本方案主要综合语音，数据，图像及多媒体系统的应用。每个信息点能够灵活的应用，可随时转换接插电话、微机或数据终端，并可随着应用需求，通过相应适配器或转换设备。整个布线系统由工作区子系统、水平干线子系统、管理子系统、主干子系统、设备间子系统、建筑群子系统等五个子系统构成。方案充分考虑高度的可靠性，高速率传输特性，灵活性及可扩充性。</w:t>
      </w:r>
    </w:p>
    <w:p>
      <w:pPr>
        <w:jc w:val="center"/>
        <w:rPr>
          <w:rFonts w:ascii="宋体" w:hAnsi="宋体"/>
          <w:b/>
          <w:sz w:val="24"/>
        </w:rPr>
      </w:pPr>
      <w:r>
        <w:rPr>
          <w:rFonts w:hint="eastAsia" w:ascii="宋体" w:hAnsi="宋体"/>
          <w:b/>
          <w:sz w:val="24"/>
        </w:rPr>
        <w:t>综合布线系统设备清单</w:t>
      </w:r>
    </w:p>
    <w:tbl>
      <w:tblPr>
        <w:tblStyle w:val="24"/>
        <w:tblW w:w="8500" w:type="dxa"/>
        <w:tblInd w:w="113" w:type="dxa"/>
        <w:tblLayout w:type="autofit"/>
        <w:tblCellMar>
          <w:top w:w="0" w:type="dxa"/>
          <w:left w:w="108" w:type="dxa"/>
          <w:bottom w:w="0" w:type="dxa"/>
          <w:right w:w="108" w:type="dxa"/>
        </w:tblCellMar>
      </w:tblPr>
      <w:tblGrid>
        <w:gridCol w:w="438"/>
        <w:gridCol w:w="1251"/>
        <w:gridCol w:w="5423"/>
        <w:gridCol w:w="586"/>
        <w:gridCol w:w="802"/>
      </w:tblGrid>
      <w:tr>
        <w:tblPrEx>
          <w:tblCellMar>
            <w:top w:w="0" w:type="dxa"/>
            <w:left w:w="108" w:type="dxa"/>
            <w:bottom w:w="0" w:type="dxa"/>
            <w:right w:w="108" w:type="dxa"/>
          </w:tblCellMar>
        </w:tblPrEx>
        <w:trPr>
          <w:trHeight w:val="240" w:hRule="atLeast"/>
        </w:trPr>
        <w:tc>
          <w:tcPr>
            <w:tcW w:w="4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25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设备名称</w:t>
            </w:r>
          </w:p>
        </w:tc>
        <w:tc>
          <w:tcPr>
            <w:tcW w:w="54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参数</w:t>
            </w:r>
          </w:p>
        </w:tc>
        <w:tc>
          <w:tcPr>
            <w:tcW w:w="5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单位</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数量</w:t>
            </w:r>
          </w:p>
        </w:tc>
      </w:tr>
      <w:tr>
        <w:tblPrEx>
          <w:tblCellMar>
            <w:top w:w="0" w:type="dxa"/>
            <w:left w:w="108" w:type="dxa"/>
            <w:bottom w:w="0" w:type="dxa"/>
            <w:right w:w="108" w:type="dxa"/>
          </w:tblCellMar>
        </w:tblPrEx>
        <w:trPr>
          <w:trHeight w:val="192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光缆（8芯）</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1、规格：室外8芯中心束管式光缆；纤芯规格为：9um； 2、加强层：双面涂塑钢带（ PSP ）； </w:t>
            </w:r>
          </w:p>
          <w:p>
            <w:pPr>
              <w:suppressAutoHyphens/>
              <w:snapToGrid w:val="0"/>
              <w:jc w:val="left"/>
              <w:rPr>
                <w:rFonts w:ascii="宋体" w:hAnsi="宋体" w:cs="宋体"/>
                <w:kern w:val="0"/>
                <w:sz w:val="20"/>
                <w:szCs w:val="20"/>
              </w:rPr>
            </w:pPr>
            <w:r>
              <w:rPr>
                <w:rFonts w:hint="eastAsia" w:ascii="宋体" w:hAnsi="宋体" w:cs="宋体"/>
                <w:kern w:val="0"/>
                <w:sz w:val="20"/>
                <w:szCs w:val="20"/>
              </w:rPr>
              <w:t>3、光芯数2-12：钢丝直径（mm）:1.6；松套管尺寸（mm）：2.0/3.0；护套标准厚度（mm）3.0；允许拉伸力长期/短期（n）：1500/3000；允许压扁力（N/100mm）：3000；</w:t>
            </w:r>
            <w:r>
              <w:rPr>
                <w:rFonts w:hint="eastAsia" w:ascii="宋体" w:hAnsi="宋体" w:cs="宋体"/>
                <w:kern w:val="0"/>
                <w:sz w:val="20"/>
                <w:szCs w:val="20"/>
              </w:rPr>
              <w:br w:type="textWrapping"/>
            </w:r>
            <w:r>
              <w:rPr>
                <w:rFonts w:hint="eastAsia" w:ascii="宋体" w:hAnsi="宋体" w:cs="宋体"/>
                <w:kern w:val="0"/>
                <w:sz w:val="20"/>
                <w:szCs w:val="20"/>
              </w:rPr>
              <w:t xml:space="preserve">4、光芯数14-24：钢丝直径（mm）:1.6；松套管尺寸（mm）：2.8/4.0；护套标准厚度（mm）3.0；允许拉伸力长期/短期（n）：1500/3000；允许压扁力（N/100mm）：3000；                                                                                                                                                                                                            </w:t>
            </w:r>
            <w:r>
              <w:rPr>
                <w:rFonts w:hint="eastAsia" w:ascii="宋体" w:hAnsi="宋体" w:cs="宋体"/>
                <w:kern w:val="0"/>
                <w:sz w:val="20"/>
                <w:szCs w:val="20"/>
              </w:rPr>
              <w:br w:type="textWrapping"/>
            </w:r>
            <w:r>
              <w:rPr>
                <w:rFonts w:hint="eastAsia" w:ascii="宋体" w:hAnsi="宋体" w:cs="宋体"/>
                <w:kern w:val="0"/>
                <w:sz w:val="20"/>
                <w:szCs w:val="20"/>
              </w:rPr>
              <w:t>5、为了保证产品质量及相应的售后服务，必须有厂家的项目授权书和25年质量保证服务；为便于采购、安装、测试、产品的质保为保证、系统兼容性及美观性，必须与六类非屏蔽双绞线同一品牌。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1600</w:t>
            </w:r>
          </w:p>
        </w:tc>
      </w:tr>
      <w:tr>
        <w:tblPrEx>
          <w:tblCellMar>
            <w:top w:w="0" w:type="dxa"/>
            <w:left w:w="108" w:type="dxa"/>
            <w:bottom w:w="0" w:type="dxa"/>
            <w:right w:w="108" w:type="dxa"/>
          </w:tblCellMar>
        </w:tblPrEx>
        <w:trPr>
          <w:trHeight w:val="144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LC尾纤</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1、符合ANSI/TIA-568-0.D-2015的要求；                                                   </w:t>
            </w:r>
            <w:r>
              <w:rPr>
                <w:rFonts w:hint="eastAsia" w:ascii="宋体" w:hAnsi="宋体" w:cs="宋体"/>
                <w:kern w:val="0"/>
                <w:sz w:val="20"/>
                <w:szCs w:val="20"/>
              </w:rPr>
              <w:br w:type="textWrapping"/>
            </w:r>
            <w:r>
              <w:rPr>
                <w:rFonts w:hint="eastAsia" w:ascii="宋体" w:hAnsi="宋体" w:cs="宋体"/>
                <w:kern w:val="0"/>
                <w:sz w:val="20"/>
                <w:szCs w:val="20"/>
              </w:rPr>
              <w:t>2、标准插入损耗（dB）：0.15；最大插入损耗（dB）：0.25；标准反射（dB）：50：最大反射（dB）：48；</w:t>
            </w:r>
            <w:r>
              <w:rPr>
                <w:rFonts w:hint="eastAsia" w:ascii="宋体" w:hAnsi="宋体" w:cs="宋体"/>
                <w:kern w:val="0"/>
                <w:sz w:val="20"/>
                <w:szCs w:val="20"/>
              </w:rPr>
              <w:br w:type="textWrapping"/>
            </w:r>
            <w:r>
              <w:rPr>
                <w:rFonts w:hint="eastAsia" w:ascii="宋体" w:hAnsi="宋体" w:cs="宋体"/>
                <w:kern w:val="0"/>
                <w:sz w:val="20"/>
                <w:szCs w:val="20"/>
              </w:rPr>
              <w:t xml:space="preserve">3、光纤护套：LSZH；长度：常规1.5米或用户定义；                                          </w:t>
            </w:r>
            <w:r>
              <w:rPr>
                <w:rFonts w:hint="eastAsia" w:ascii="宋体" w:hAnsi="宋体" w:cs="宋体"/>
                <w:kern w:val="0"/>
                <w:sz w:val="20"/>
                <w:szCs w:val="20"/>
              </w:rPr>
              <w:br w:type="textWrapping"/>
            </w:r>
            <w:r>
              <w:rPr>
                <w:rFonts w:hint="eastAsia" w:ascii="宋体" w:hAnsi="宋体" w:cs="宋体"/>
                <w:kern w:val="0"/>
                <w:sz w:val="20"/>
                <w:szCs w:val="20"/>
              </w:rPr>
              <w:t xml:space="preserve">4、★为了保证产品质量，该产品通过泰尔实验室单模光纤链路检验（提供检验报告复印件加盖生产厂家公章）； </w:t>
            </w:r>
            <w:r>
              <w:rPr>
                <w:rFonts w:hint="eastAsia" w:ascii="宋体" w:hAnsi="宋体" w:cs="宋体"/>
                <w:kern w:val="0"/>
                <w:sz w:val="20"/>
                <w:szCs w:val="20"/>
              </w:rPr>
              <w:br w:type="textWrapping"/>
            </w:r>
            <w:r>
              <w:rPr>
                <w:rFonts w:hint="eastAsia" w:ascii="宋体" w:hAnsi="宋体" w:cs="宋体"/>
                <w:kern w:val="0"/>
                <w:sz w:val="20"/>
                <w:szCs w:val="20"/>
              </w:rPr>
              <w:t>5、为了保证产品质量及相应的售后服务，必须有厂家的项目授权书和25年质量保证服务；为便于采购、安装、测试、产品的质保为保证、系统兼容性及美观性，必须与六类非屏蔽双绞线同一品牌。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根</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128</w:t>
            </w:r>
          </w:p>
        </w:tc>
      </w:tr>
      <w:tr>
        <w:tblPrEx>
          <w:tblCellMar>
            <w:top w:w="0" w:type="dxa"/>
            <w:left w:w="108" w:type="dxa"/>
            <w:bottom w:w="0" w:type="dxa"/>
            <w:right w:w="108" w:type="dxa"/>
          </w:tblCellMar>
        </w:tblPrEx>
        <w:trPr>
          <w:trHeight w:val="120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LC耦合器</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1、符合ANSI/TIA-568-0.D-2015的要求；</w:t>
            </w:r>
            <w:r>
              <w:rPr>
                <w:rFonts w:hint="eastAsia" w:ascii="宋体" w:hAnsi="宋体" w:cs="宋体"/>
                <w:kern w:val="0"/>
                <w:sz w:val="20"/>
                <w:szCs w:val="20"/>
              </w:rPr>
              <w:br w:type="textWrapping"/>
            </w:r>
            <w:r>
              <w:rPr>
                <w:rFonts w:hint="eastAsia" w:ascii="宋体" w:hAnsi="宋体" w:cs="宋体"/>
                <w:kern w:val="0"/>
                <w:sz w:val="20"/>
                <w:szCs w:val="20"/>
              </w:rPr>
              <w:t>2、插入损耗≤0.3dB；温度性能：-40℃～+85℃；反射损耗≥55dB；耐久性500yclds。变化小于等于0.2dB；</w:t>
            </w:r>
            <w:r>
              <w:rPr>
                <w:rFonts w:hint="eastAsia" w:ascii="宋体" w:hAnsi="宋体" w:cs="宋体"/>
                <w:kern w:val="0"/>
                <w:sz w:val="20"/>
                <w:szCs w:val="20"/>
              </w:rPr>
              <w:br w:type="textWrapping"/>
            </w:r>
            <w:r>
              <w:rPr>
                <w:rFonts w:hint="eastAsia" w:ascii="宋体" w:hAnsi="宋体" w:cs="宋体"/>
                <w:kern w:val="0"/>
                <w:sz w:val="20"/>
                <w:szCs w:val="20"/>
              </w:rPr>
              <w:t xml:space="preserve">3、★为了保证产品质量，该产品通过泰尔实验室单模光纤链路检验（提供检验报告复印件加盖生产厂家公章）； </w:t>
            </w:r>
            <w:r>
              <w:rPr>
                <w:rFonts w:hint="eastAsia" w:ascii="宋体" w:hAnsi="宋体" w:cs="宋体"/>
                <w:kern w:val="0"/>
                <w:sz w:val="20"/>
                <w:szCs w:val="20"/>
              </w:rPr>
              <w:br w:type="textWrapping"/>
            </w:r>
            <w:r>
              <w:rPr>
                <w:rFonts w:hint="eastAsia" w:ascii="宋体" w:hAnsi="宋体" w:cs="宋体"/>
                <w:kern w:val="0"/>
                <w:sz w:val="20"/>
                <w:szCs w:val="20"/>
              </w:rPr>
              <w:t>4、为了保证产品质量及相应的售后服务，必须有厂家的项目授权书和25年质量保证服务；为便于采购、安装、测试、产品的质保为保证、系统兼容性及美观性，必须与六类非屏蔽双绞线同一品牌。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128</w:t>
            </w:r>
          </w:p>
        </w:tc>
      </w:tr>
      <w:tr>
        <w:tblPrEx>
          <w:tblCellMar>
            <w:top w:w="0" w:type="dxa"/>
            <w:left w:w="108" w:type="dxa"/>
            <w:bottom w:w="0" w:type="dxa"/>
            <w:right w:w="108" w:type="dxa"/>
          </w:tblCellMar>
        </w:tblPrEx>
        <w:trPr>
          <w:trHeight w:val="144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LC-LC跳线</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1、符合ANSI/TIA-568-0.D-2015的要求。</w:t>
            </w:r>
            <w:r>
              <w:rPr>
                <w:rFonts w:hint="eastAsia" w:ascii="宋体" w:hAnsi="宋体" w:cs="宋体"/>
                <w:kern w:val="0"/>
                <w:sz w:val="20"/>
                <w:szCs w:val="20"/>
              </w:rPr>
              <w:br w:type="textWrapping"/>
            </w:r>
            <w:r>
              <w:rPr>
                <w:rFonts w:hint="eastAsia" w:ascii="宋体" w:hAnsi="宋体" w:cs="宋体"/>
                <w:kern w:val="0"/>
                <w:sz w:val="20"/>
                <w:szCs w:val="20"/>
              </w:rPr>
              <w:t>2、插入损耗≤0.4dB；温度性能：-40℃～+80℃；重复性 ≤0.2dB；互换性 ≤0.2dB；</w:t>
            </w:r>
            <w:r>
              <w:rPr>
                <w:rFonts w:hint="eastAsia" w:ascii="宋体" w:hAnsi="宋体" w:cs="宋体"/>
                <w:kern w:val="0"/>
                <w:sz w:val="20"/>
                <w:szCs w:val="20"/>
              </w:rPr>
              <w:br w:type="textWrapping"/>
            </w:r>
            <w:r>
              <w:rPr>
                <w:rFonts w:hint="eastAsia" w:ascii="宋体" w:hAnsi="宋体" w:cs="宋体"/>
                <w:kern w:val="0"/>
                <w:sz w:val="20"/>
                <w:szCs w:val="20"/>
              </w:rPr>
              <w:t xml:space="preserve">3、光纤护套：LSZH；长度：常规3米或用户定义；                                           4、★为了保证产品质量，该产品通过泰尔实验室单模光纤链路检验（提供检验报告复印件加盖生产厂家公章） </w:t>
            </w:r>
            <w:r>
              <w:rPr>
                <w:rFonts w:hint="eastAsia" w:ascii="宋体" w:hAnsi="宋体" w:cs="宋体"/>
                <w:kern w:val="0"/>
                <w:sz w:val="20"/>
                <w:szCs w:val="20"/>
              </w:rPr>
              <w:br w:type="textWrapping"/>
            </w:r>
            <w:r>
              <w:rPr>
                <w:rFonts w:hint="eastAsia" w:ascii="宋体" w:hAnsi="宋体" w:cs="宋体"/>
                <w:kern w:val="0"/>
                <w:sz w:val="20"/>
                <w:szCs w:val="20"/>
              </w:rPr>
              <w:t>5、为了保证产品质量及相应的售后服务，必须有厂家的项目授权书和25年质量保证服务；为便于采购、安装、测试、产品的质保为保证、系统兼容性及美观性，必须与六类非屏蔽双绞线同一品牌。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根</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r>
      <w:tr>
        <w:tblPrEx>
          <w:tblCellMar>
            <w:top w:w="0" w:type="dxa"/>
            <w:left w:w="108" w:type="dxa"/>
            <w:bottom w:w="0" w:type="dxa"/>
            <w:right w:w="108" w:type="dxa"/>
          </w:tblCellMar>
        </w:tblPrEx>
        <w:trPr>
          <w:trHeight w:val="144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光纤配线架24口</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1、壳体采用优质冷轧钢板,档尘板为有机玻璃；24芯熔纤盘为：ABS工程；支持19″标准安装，适用于多种机架、机柜上的安装；提供光纤熔接、配线管理；</w:t>
            </w:r>
            <w:r>
              <w:rPr>
                <w:rFonts w:hint="eastAsia" w:ascii="宋体" w:hAnsi="宋体" w:cs="宋体"/>
                <w:kern w:val="0"/>
                <w:sz w:val="20"/>
                <w:szCs w:val="20"/>
              </w:rPr>
              <w:br w:type="textWrapping"/>
            </w:r>
            <w:r>
              <w:rPr>
                <w:rFonts w:hint="eastAsia" w:ascii="宋体" w:hAnsi="宋体" w:cs="宋体"/>
                <w:kern w:val="0"/>
                <w:sz w:val="20"/>
                <w:szCs w:val="20"/>
              </w:rPr>
              <w:t xml:space="preserve">2、满足光纤应用的多样性，支持LC、FC、SC和ST不同类型的光纤适配器；1U高度，单工最多可以安装24只，LC双工最多可以安装24只可以扩充到48口；1U最大光纤芯数：48；                                                                        </w:t>
            </w:r>
            <w:r>
              <w:rPr>
                <w:rFonts w:hint="eastAsia" w:ascii="宋体" w:hAnsi="宋体" w:cs="宋体"/>
                <w:kern w:val="0"/>
                <w:sz w:val="20"/>
                <w:szCs w:val="20"/>
              </w:rPr>
              <w:br w:type="textWrapping"/>
            </w:r>
            <w:r>
              <w:rPr>
                <w:rFonts w:hint="eastAsia" w:ascii="宋体" w:hAnsi="宋体" w:cs="宋体"/>
                <w:kern w:val="0"/>
                <w:sz w:val="20"/>
                <w:szCs w:val="20"/>
              </w:rPr>
              <w:t>3、为了保证产品质量及相应的售后服务，必须有厂家的项目授权书和25年质量保证服务；为便于采购、安装、测试、产品的质保为保证、系统兼容性及美观性，必须与六类非屏蔽双绞线同一品牌。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144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光纤配线架12口</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1、壳体采用优质冷轧钢板,档尘板为有机玻璃；12芯熔纤盘为：ABS工程；支持19″标准安装，适用于多种机架、机柜上的安装；提供光纤熔接、配线管理；</w:t>
            </w:r>
            <w:r>
              <w:rPr>
                <w:rFonts w:hint="eastAsia" w:ascii="宋体" w:hAnsi="宋体" w:cs="宋体"/>
                <w:kern w:val="0"/>
                <w:sz w:val="20"/>
                <w:szCs w:val="20"/>
              </w:rPr>
              <w:br w:type="textWrapping"/>
            </w:r>
            <w:r>
              <w:rPr>
                <w:rFonts w:hint="eastAsia" w:ascii="宋体" w:hAnsi="宋体" w:cs="宋体"/>
                <w:kern w:val="0"/>
                <w:sz w:val="20"/>
                <w:szCs w:val="20"/>
              </w:rPr>
              <w:t>2、满足光纤应用的多样性，支持LC、FC、SC和ST不同类型的光纤适配器；1U高度，单工最多可以安装12只，LC双工最多可以安装12只可以扩充到24口；1U最大光纤芯数：24；                                                                         3、提供原生产厂家授权和25年售后服务承诺函并盖原厂家公章，为便于采购、安装、测试、产品的质保为保证、系统兼容性及美观性，必须与六类非屏蔽双绞线同一品牌。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r>
      <w:tr>
        <w:tblPrEx>
          <w:tblCellMar>
            <w:top w:w="0" w:type="dxa"/>
            <w:left w:w="108" w:type="dxa"/>
            <w:bottom w:w="0" w:type="dxa"/>
            <w:right w:w="108" w:type="dxa"/>
          </w:tblCellMar>
        </w:tblPrEx>
        <w:trPr>
          <w:trHeight w:val="9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网线</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1、性能要求：23AWG线规，并采用带十字支撑架结构，可以有效隔离对绞线对以优化NEXT和ELFEXT性能，4对线，每芯带有色条区别，内有线缆撕裂绳。</w:t>
            </w:r>
            <w:r>
              <w:rPr>
                <w:rFonts w:hint="eastAsia" w:ascii="宋体" w:hAnsi="宋体" w:cs="宋体"/>
                <w:kern w:val="0"/>
                <w:sz w:val="20"/>
                <w:szCs w:val="20"/>
              </w:rPr>
              <w:br w:type="textWrapping"/>
            </w:r>
            <w:r>
              <w:rPr>
                <w:rFonts w:hint="eastAsia" w:ascii="宋体" w:hAnsi="宋体" w:cs="宋体"/>
                <w:kern w:val="0"/>
                <w:sz w:val="20"/>
                <w:szCs w:val="20"/>
              </w:rPr>
              <w:t>2、标准要求：符合YD/T 1019-2013标准和TIA-EIA-568-C.2-2009标准。</w:t>
            </w:r>
            <w:r>
              <w:rPr>
                <w:rFonts w:hint="eastAsia" w:ascii="宋体" w:hAnsi="宋体" w:cs="宋体"/>
                <w:kern w:val="0"/>
                <w:sz w:val="20"/>
                <w:szCs w:val="20"/>
              </w:rPr>
              <w:br w:type="textWrapping"/>
            </w:r>
            <w:r>
              <w:rPr>
                <w:rFonts w:hint="eastAsia" w:ascii="宋体" w:hAnsi="宋体" w:cs="宋体"/>
                <w:kern w:val="0"/>
                <w:sz w:val="20"/>
                <w:szCs w:val="20"/>
              </w:rPr>
              <w:t>3、电气特性：线对直流电阻不平衡≤2%；4≤f≤250MHz衰减：4；工作电容≤5.6pF/100m；线对对地电容不平衡≤330pF/100m</w:t>
            </w:r>
            <w:r>
              <w:rPr>
                <w:rFonts w:hint="eastAsia" w:ascii="宋体" w:hAnsi="宋体" w:cs="宋体"/>
                <w:kern w:val="0"/>
                <w:sz w:val="20"/>
                <w:szCs w:val="20"/>
              </w:rPr>
              <w:br w:type="textWrapping"/>
            </w:r>
            <w:r>
              <w:rPr>
                <w:rFonts w:hint="eastAsia" w:ascii="宋体" w:hAnsi="宋体" w:cs="宋体"/>
                <w:kern w:val="0"/>
                <w:sz w:val="20"/>
                <w:szCs w:val="20"/>
              </w:rPr>
              <w:t>4、护套要求：PVC材料。</w:t>
            </w:r>
            <w:r>
              <w:rPr>
                <w:rFonts w:hint="eastAsia" w:ascii="宋体" w:hAnsi="宋体" w:cs="宋体"/>
                <w:kern w:val="0"/>
                <w:sz w:val="20"/>
                <w:szCs w:val="20"/>
              </w:rPr>
              <w:br w:type="textWrapping"/>
            </w:r>
            <w:r>
              <w:rPr>
                <w:rFonts w:hint="eastAsia" w:ascii="宋体" w:hAnsi="宋体" w:cs="宋体"/>
                <w:kern w:val="0"/>
                <w:sz w:val="20"/>
                <w:szCs w:val="20"/>
              </w:rPr>
              <w:t>5、护套标识：外护套印有LOGO、型线规、屏蔽类型、标准号、缆型等信息，要求字迹清晰、不褪色、容易辨别，用于产品的质量回溯，并印有逆序长度标注(305~0 meter)以方便识别线缆长度。</w:t>
            </w:r>
            <w:r>
              <w:rPr>
                <w:rFonts w:hint="eastAsia" w:ascii="宋体" w:hAnsi="宋体" w:cs="宋体"/>
                <w:kern w:val="0"/>
                <w:sz w:val="20"/>
                <w:szCs w:val="20"/>
              </w:rPr>
              <w:br w:type="textWrapping"/>
            </w:r>
            <w:r>
              <w:rPr>
                <w:rFonts w:hint="eastAsia" w:ascii="宋体" w:hAnsi="宋体" w:cs="宋体"/>
                <w:kern w:val="0"/>
                <w:sz w:val="20"/>
                <w:szCs w:val="20"/>
              </w:rPr>
              <w:t xml:space="preserve">6、★认证及测试：提供信息产业部信道测试报告和六类非屏蔽双绞线测试报告复印件并加盖原厂公章。       </w:t>
            </w:r>
            <w:r>
              <w:rPr>
                <w:rFonts w:hint="eastAsia" w:ascii="宋体" w:hAnsi="宋体" w:cs="宋体"/>
                <w:kern w:val="0"/>
                <w:sz w:val="20"/>
                <w:szCs w:val="20"/>
              </w:rPr>
              <w:br w:type="textWrapping"/>
            </w:r>
            <w:r>
              <w:rPr>
                <w:rFonts w:hint="eastAsia" w:ascii="宋体" w:hAnsi="宋体" w:cs="宋体"/>
                <w:kern w:val="0"/>
                <w:sz w:val="20"/>
                <w:szCs w:val="20"/>
              </w:rPr>
              <w:t>7、★提供原生产厂家授权和25年售后服务承诺函并盖原厂家公章，为便于采购、安装、测试、产品的质保为保证、系统兼容性及美观性，综合布线必须采用同一品牌。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10370</w:t>
            </w:r>
          </w:p>
        </w:tc>
      </w:tr>
      <w:tr>
        <w:tblPrEx>
          <w:tblCellMar>
            <w:top w:w="0" w:type="dxa"/>
            <w:left w:w="108" w:type="dxa"/>
            <w:bottom w:w="0" w:type="dxa"/>
            <w:right w:w="108" w:type="dxa"/>
          </w:tblCellMar>
        </w:tblPrEx>
        <w:trPr>
          <w:trHeight w:val="274"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电话线</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1、三类2对非屏蔽双绞线参考标准：UL Subject 444, EIA/TIA 568C.2-1 &amp; ISO/IEC 11801；适用范围100 Base-T4和100Base-TX；</w:t>
            </w:r>
            <w:r>
              <w:rPr>
                <w:rFonts w:hint="eastAsia" w:ascii="宋体" w:hAnsi="宋体" w:cs="宋体"/>
                <w:kern w:val="0"/>
                <w:sz w:val="20"/>
                <w:szCs w:val="20"/>
              </w:rPr>
              <w:br w:type="textWrapping"/>
            </w:r>
            <w:r>
              <w:rPr>
                <w:rFonts w:hint="eastAsia" w:ascii="宋体" w:hAnsi="宋体" w:cs="宋体"/>
                <w:kern w:val="0"/>
                <w:sz w:val="20"/>
                <w:szCs w:val="20"/>
              </w:rPr>
              <w:t>2、额定温度：70°C；导体：固态纯铜，线规：24AWG；彩色PE绝缘层；PVC外层护套；包装：纸箱；              3、提供原生产厂家授权和25年售后服务承诺函并盖原厂家公章，为便于采购、安装、测试、产品的质保为保证、系统兼容性及美观性，必须与六类非屏蔽双绞线同一品牌。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2135</w:t>
            </w:r>
          </w:p>
        </w:tc>
      </w:tr>
      <w:tr>
        <w:tblPrEx>
          <w:tblCellMar>
            <w:top w:w="0" w:type="dxa"/>
            <w:left w:w="108" w:type="dxa"/>
            <w:bottom w:w="0" w:type="dxa"/>
            <w:right w:w="108" w:type="dxa"/>
          </w:tblCellMar>
        </w:tblPrEx>
        <w:trPr>
          <w:trHeight w:val="168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50对室内电缆</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1、标准：符合ANSI/TIA-568-C.2-2009标准</w:t>
            </w:r>
            <w:r>
              <w:rPr>
                <w:rFonts w:hint="eastAsia" w:ascii="宋体" w:hAnsi="宋体" w:cs="宋体"/>
                <w:kern w:val="0"/>
                <w:sz w:val="20"/>
                <w:szCs w:val="20"/>
              </w:rPr>
              <w:br w:type="textWrapping"/>
            </w:r>
            <w:r>
              <w:rPr>
                <w:rFonts w:hint="eastAsia" w:ascii="宋体" w:hAnsi="宋体" w:cs="宋体"/>
                <w:kern w:val="0"/>
                <w:sz w:val="20"/>
                <w:szCs w:val="20"/>
              </w:rPr>
              <w:t>2、护套要求：PVC材料；</w:t>
            </w:r>
            <w:r>
              <w:rPr>
                <w:rFonts w:hint="eastAsia" w:ascii="宋体" w:hAnsi="宋体" w:cs="宋体"/>
                <w:kern w:val="0"/>
                <w:sz w:val="20"/>
                <w:szCs w:val="20"/>
              </w:rPr>
              <w:br w:type="textWrapping"/>
            </w:r>
            <w:r>
              <w:rPr>
                <w:rFonts w:hint="eastAsia" w:ascii="宋体" w:hAnsi="宋体" w:cs="宋体"/>
                <w:kern w:val="0"/>
                <w:sz w:val="20"/>
                <w:szCs w:val="20"/>
              </w:rPr>
              <w:t>3、电气特性：额定传输率:65%、线对直流不平衡电阻@20Deg.C≤2%、线对与地之间的电容不平衡≤330pF/100m；</w:t>
            </w:r>
            <w:r>
              <w:rPr>
                <w:rFonts w:hint="eastAsia" w:ascii="宋体" w:hAnsi="宋体" w:cs="宋体"/>
                <w:kern w:val="0"/>
                <w:sz w:val="20"/>
                <w:szCs w:val="20"/>
              </w:rPr>
              <w:br w:type="textWrapping"/>
            </w:r>
            <w:r>
              <w:rPr>
                <w:rFonts w:hint="eastAsia" w:ascii="宋体" w:hAnsi="宋体" w:cs="宋体"/>
                <w:kern w:val="0"/>
                <w:sz w:val="20"/>
                <w:szCs w:val="20"/>
              </w:rPr>
              <w:t>4、芯数要求：25/50/100对每芯带有彩色护套；</w:t>
            </w:r>
            <w:r>
              <w:rPr>
                <w:rFonts w:hint="eastAsia" w:ascii="宋体" w:hAnsi="宋体" w:cs="宋体"/>
                <w:kern w:val="0"/>
                <w:sz w:val="20"/>
                <w:szCs w:val="20"/>
              </w:rPr>
              <w:br w:type="textWrapping"/>
            </w:r>
            <w:r>
              <w:rPr>
                <w:rFonts w:hint="eastAsia" w:ascii="宋体" w:hAnsi="宋体" w:cs="宋体"/>
                <w:kern w:val="0"/>
                <w:sz w:val="20"/>
                <w:szCs w:val="20"/>
              </w:rPr>
              <w:t>5、★认证及测试：提供FCC认证和信息产业部测试三类大对数信道报告复印件并加盖原厂公章，提供原生产厂家授权和25年售后服务承诺函并盖原厂家公章，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w:t>
            </w:r>
          </w:p>
        </w:tc>
      </w:tr>
      <w:tr>
        <w:tblPrEx>
          <w:tblCellMar>
            <w:top w:w="0" w:type="dxa"/>
            <w:left w:w="108" w:type="dxa"/>
            <w:bottom w:w="0" w:type="dxa"/>
            <w:right w:w="108" w:type="dxa"/>
          </w:tblCellMar>
        </w:tblPrEx>
        <w:trPr>
          <w:trHeight w:val="192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六类非屏蔽模块</w:t>
            </w:r>
          </w:p>
        </w:tc>
        <w:tc>
          <w:tcPr>
            <w:tcW w:w="5423"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1、独特的PCB线路板线对平衡设计，减少干扰，通过余量高；产品可提供90度和180度端接方式；</w:t>
            </w:r>
            <w:r>
              <w:rPr>
                <w:rFonts w:hint="eastAsia" w:ascii="宋体" w:hAnsi="宋体" w:cs="宋体"/>
                <w:kern w:val="0"/>
                <w:sz w:val="20"/>
                <w:szCs w:val="20"/>
              </w:rPr>
              <w:br w:type="textWrapping"/>
            </w:r>
            <w:r>
              <w:rPr>
                <w:rFonts w:hint="eastAsia" w:ascii="宋体" w:hAnsi="宋体" w:cs="宋体"/>
                <w:kern w:val="0"/>
                <w:sz w:val="20"/>
                <w:szCs w:val="20"/>
              </w:rPr>
              <w:t>2、具备T568A和T568B两种通用线序，通用线序标签清晰标注于模块上，采用单对110型打线工具；</w:t>
            </w:r>
            <w:r>
              <w:rPr>
                <w:rFonts w:hint="eastAsia" w:ascii="宋体" w:hAnsi="宋体" w:cs="宋体"/>
                <w:kern w:val="0"/>
                <w:sz w:val="20"/>
                <w:szCs w:val="20"/>
              </w:rPr>
              <w:br w:type="textWrapping"/>
            </w:r>
            <w:r>
              <w:rPr>
                <w:rFonts w:hint="eastAsia" w:ascii="宋体" w:hAnsi="宋体" w:cs="宋体"/>
                <w:kern w:val="0"/>
                <w:sz w:val="20"/>
                <w:szCs w:val="20"/>
              </w:rPr>
              <w:t>3、端接口外壳材料采用高强度PC材料，坚固且防腐蚀IDC打线柱夹子为磷青铜，保证大于250次的端接、接触针耐用性为1500次插拔，可提供高达350MHz的可用宽带；</w:t>
            </w:r>
            <w:r>
              <w:rPr>
                <w:rFonts w:hint="eastAsia" w:ascii="宋体" w:hAnsi="宋体" w:cs="宋体"/>
                <w:kern w:val="0"/>
                <w:sz w:val="20"/>
                <w:szCs w:val="20"/>
              </w:rPr>
              <w:br w:type="textWrapping"/>
            </w:r>
            <w:r>
              <w:rPr>
                <w:rFonts w:hint="eastAsia" w:ascii="宋体" w:hAnsi="宋体" w:cs="宋体"/>
                <w:kern w:val="0"/>
                <w:sz w:val="20"/>
                <w:szCs w:val="20"/>
              </w:rPr>
              <w:t xml:space="preserve">4、适用于23 AWG线缆，具有向后兼容性可向下兼容CAT5E及更低类别的系统；端接保护帽具有扣锁式设计，可以保证线缆避免端接后的过度曲、 脱落和对接触点的保护；                                                                                           </w:t>
            </w:r>
            <w:r>
              <w:rPr>
                <w:rFonts w:hint="eastAsia" w:ascii="宋体" w:hAnsi="宋体" w:cs="宋体"/>
                <w:kern w:val="0"/>
                <w:sz w:val="20"/>
                <w:szCs w:val="20"/>
              </w:rPr>
              <w:br w:type="textWrapping"/>
            </w:r>
            <w:r>
              <w:rPr>
                <w:rFonts w:hint="eastAsia" w:ascii="宋体" w:hAnsi="宋体" w:cs="宋体"/>
                <w:kern w:val="0"/>
                <w:sz w:val="20"/>
                <w:szCs w:val="20"/>
              </w:rPr>
              <w:t>5、提供原生产厂家授权和25年售后服务承诺函并盖原厂家公章，为便于采购、安装、测试、产品的质保为保证、系统兼容性及美观性，必须与六类非屏蔽双绞线同一品牌。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r>
      <w:tr>
        <w:tblPrEx>
          <w:tblCellMar>
            <w:top w:w="0" w:type="dxa"/>
            <w:left w:w="108" w:type="dxa"/>
            <w:bottom w:w="0" w:type="dxa"/>
            <w:right w:w="108" w:type="dxa"/>
          </w:tblCellMar>
        </w:tblPrEx>
        <w:trPr>
          <w:trHeight w:val="96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电话模块</w:t>
            </w:r>
          </w:p>
        </w:tc>
        <w:tc>
          <w:tcPr>
            <w:tcW w:w="5423"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1、6芯针触点耐用性为1500次插拔；打线柱外壳材料为聚碳酸醋，IDC打线柱夹子为磷青铜，适用于22，24及26AWG(0.64，0.5及0.4mm)线缆，耐用性为250次插拔，提供相关彩页证明材料，并盖设备厂家公章；</w:t>
            </w:r>
            <w:r>
              <w:rPr>
                <w:rFonts w:hint="eastAsia" w:ascii="宋体" w:hAnsi="宋体" w:cs="宋体"/>
                <w:kern w:val="0"/>
                <w:sz w:val="20"/>
                <w:szCs w:val="20"/>
              </w:rPr>
              <w:br w:type="textWrapping"/>
            </w:r>
            <w:r>
              <w:rPr>
                <w:rFonts w:hint="eastAsia" w:ascii="宋体" w:hAnsi="宋体" w:cs="宋体"/>
                <w:kern w:val="0"/>
                <w:sz w:val="20"/>
                <w:szCs w:val="20"/>
              </w:rPr>
              <w:t>2、提供原生产厂家授权和25年售后服务承诺函并盖原厂家公章，为便于采购、安装、测试、产品的质保为保证、系统兼容性及美观性，必须与六类非屏蔽双绞线同一品牌。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r>
      <w:tr>
        <w:tblPrEx>
          <w:tblCellMar>
            <w:top w:w="0" w:type="dxa"/>
            <w:left w:w="108" w:type="dxa"/>
            <w:bottom w:w="0" w:type="dxa"/>
            <w:right w:w="108" w:type="dxa"/>
          </w:tblCellMar>
        </w:tblPrEx>
        <w:trPr>
          <w:trHeight w:val="144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双口面板</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 86型和86型弧型双口面板产品是采用阻燃、抗冲击、耐腐蚀的优质ABS工程塑料制作与RJ45模块和RJ11模块配套使用；颜色为白色；</w:t>
            </w:r>
            <w:r>
              <w:rPr>
                <w:rFonts w:hint="eastAsia" w:ascii="宋体" w:hAnsi="宋体" w:cs="宋体"/>
                <w:kern w:val="0"/>
                <w:sz w:val="20"/>
                <w:szCs w:val="20"/>
              </w:rPr>
              <w:br w:type="textWrapping"/>
            </w:r>
            <w:r>
              <w:rPr>
                <w:rFonts w:hint="eastAsia" w:ascii="宋体" w:hAnsi="宋体" w:cs="宋体"/>
                <w:kern w:val="0"/>
                <w:sz w:val="20"/>
                <w:szCs w:val="20"/>
              </w:rPr>
              <w:t>2、面板上自带防尘盖；面板带有标签标识功能，方便管理及日常维护；面板后面具有RJ45配套卡槽；光面设计，增加与强电面板的匹配性；前后双层面板设计，外形美观，避免固定螺丝孔外露。                                  3、提供原生产厂家授权和25年售后服务承诺函并盖原厂家公章，为便于采购、安装、测试、产品的质保为保证、系统兼容性及美观性，必须与六类非屏蔽双绞线同一品牌。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r>
      <w:tr>
        <w:tblPrEx>
          <w:tblCellMar>
            <w:top w:w="0" w:type="dxa"/>
            <w:left w:w="108" w:type="dxa"/>
            <w:bottom w:w="0" w:type="dxa"/>
            <w:right w:w="108" w:type="dxa"/>
          </w:tblCellMar>
        </w:tblPrEx>
        <w:trPr>
          <w:trHeight w:val="144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单口面板</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 86型和86型弧型单口面板产品是采用阻燃、抗冲击、耐腐蚀的优质ABS工程塑料制作与RJ45模块和RJ11模块配套使用；颜色为白色；</w:t>
            </w:r>
            <w:r>
              <w:rPr>
                <w:rFonts w:hint="eastAsia" w:ascii="宋体" w:hAnsi="宋体" w:cs="宋体"/>
                <w:kern w:val="0"/>
                <w:sz w:val="20"/>
                <w:szCs w:val="20"/>
              </w:rPr>
              <w:br w:type="textWrapping"/>
            </w:r>
            <w:r>
              <w:rPr>
                <w:rFonts w:hint="eastAsia" w:ascii="宋体" w:hAnsi="宋体" w:cs="宋体"/>
                <w:kern w:val="0"/>
                <w:sz w:val="20"/>
                <w:szCs w:val="20"/>
              </w:rPr>
              <w:t xml:space="preserve">2、面板上自带防尘盖；面板带有标签标识功能，方便管理及日常维护；面板后面具有RJ45配套卡槽；光面设计，增加与强电面板的匹配性；前后双层面板设计，外形美观，避免固定螺丝孔外露。                                   </w:t>
            </w:r>
          </w:p>
          <w:p>
            <w:pPr>
              <w:rPr>
                <w:rFonts w:ascii="宋体" w:hAnsi="宋体" w:cs="宋体"/>
                <w:kern w:val="0"/>
                <w:sz w:val="20"/>
                <w:szCs w:val="20"/>
              </w:rPr>
            </w:pPr>
            <w:r>
              <w:rPr>
                <w:rFonts w:hint="eastAsia" w:ascii="宋体" w:hAnsi="宋体" w:cs="宋体"/>
                <w:kern w:val="0"/>
                <w:sz w:val="20"/>
                <w:szCs w:val="20"/>
              </w:rPr>
              <w:t>3、提供原生产厂家授权和25年售后服务承诺函并盖原厂家公章，为便于采购、安装、测试、产品的质保为保证、系统兼容性及美观性，必须与六类非屏蔽双绞线同一品牌。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58</w:t>
            </w:r>
          </w:p>
        </w:tc>
      </w:tr>
      <w:tr>
        <w:tblPrEx>
          <w:tblCellMar>
            <w:top w:w="0" w:type="dxa"/>
            <w:left w:w="108" w:type="dxa"/>
            <w:bottom w:w="0" w:type="dxa"/>
            <w:right w:w="108" w:type="dxa"/>
          </w:tblCellMar>
        </w:tblPrEx>
        <w:trPr>
          <w:trHeight w:val="288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配线架</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1、独特的线路板线对平衡设计，减少干扰，通过余量高；</w:t>
            </w:r>
            <w:r>
              <w:rPr>
                <w:rFonts w:hint="eastAsia" w:ascii="宋体" w:hAnsi="宋体" w:cs="宋体"/>
                <w:kern w:val="0"/>
                <w:sz w:val="20"/>
                <w:szCs w:val="20"/>
              </w:rPr>
              <w:br w:type="textWrapping"/>
            </w:r>
            <w:r>
              <w:rPr>
                <w:rFonts w:hint="eastAsia" w:ascii="宋体" w:hAnsi="宋体" w:cs="宋体"/>
                <w:kern w:val="0"/>
                <w:sz w:val="20"/>
                <w:szCs w:val="20"/>
              </w:rPr>
              <w:t>2、端接口外壳材料采用高强度PC材料，IDC打线柱夹子为磷青铜，保证大于250次的端接，接触针耐用性为1500次插拔；满足或优于现行的六类传输标准，符合千兆以太网应用系统，性能超越六类350MHz连接硬件指标，提供相关彩页证明材料，并盖设备厂家公章；</w:t>
            </w:r>
            <w:r>
              <w:rPr>
                <w:rFonts w:hint="eastAsia" w:ascii="宋体" w:hAnsi="宋体" w:cs="宋体"/>
                <w:kern w:val="0"/>
                <w:sz w:val="20"/>
                <w:szCs w:val="20"/>
              </w:rPr>
              <w:br w:type="textWrapping"/>
            </w:r>
            <w:r>
              <w:rPr>
                <w:rFonts w:hint="eastAsia" w:ascii="宋体" w:hAnsi="宋体" w:cs="宋体"/>
                <w:kern w:val="0"/>
                <w:sz w:val="20"/>
                <w:szCs w:val="20"/>
              </w:rPr>
              <w:t>3、模块后部的端接保护帽具有扣锁式设计，可以保证线缆避免端接后的过度弯曲、脱落和对接触点的保护；</w:t>
            </w:r>
            <w:r>
              <w:rPr>
                <w:rFonts w:hint="eastAsia" w:ascii="宋体" w:hAnsi="宋体" w:cs="宋体"/>
                <w:kern w:val="0"/>
                <w:sz w:val="20"/>
                <w:szCs w:val="20"/>
              </w:rPr>
              <w:br w:type="textWrapping"/>
            </w:r>
            <w:r>
              <w:rPr>
                <w:rFonts w:hint="eastAsia" w:ascii="宋体" w:hAnsi="宋体" w:cs="宋体"/>
                <w:kern w:val="0"/>
                <w:sz w:val="20"/>
                <w:szCs w:val="20"/>
              </w:rPr>
              <w:t>4、具有向后兼容性可向下兼容CAT5E及更低类别的系统；</w:t>
            </w:r>
            <w:r>
              <w:rPr>
                <w:rFonts w:hint="eastAsia" w:ascii="宋体" w:hAnsi="宋体" w:cs="宋体"/>
                <w:kern w:val="0"/>
                <w:sz w:val="20"/>
                <w:szCs w:val="20"/>
              </w:rPr>
              <w:br w:type="textWrapping"/>
            </w:r>
            <w:r>
              <w:rPr>
                <w:rFonts w:hint="eastAsia" w:ascii="宋体" w:hAnsi="宋体" w:cs="宋体"/>
                <w:kern w:val="0"/>
                <w:sz w:val="20"/>
                <w:szCs w:val="20"/>
              </w:rPr>
              <w:t>5、兼容19英寸设备机架、机柜和墙装支架；所有端口前端均有标号，前端大型标签位置方便客户的端口标识；背面具有线缆管理器，能有效地将线缆引导至端接点；</w:t>
            </w:r>
            <w:r>
              <w:rPr>
                <w:rFonts w:hint="eastAsia" w:ascii="宋体" w:hAnsi="宋体" w:cs="宋体"/>
                <w:kern w:val="0"/>
                <w:sz w:val="20"/>
                <w:szCs w:val="20"/>
              </w:rPr>
              <w:br w:type="textWrapping"/>
            </w:r>
            <w:r>
              <w:rPr>
                <w:rFonts w:hint="eastAsia" w:ascii="宋体" w:hAnsi="宋体" w:cs="宋体"/>
                <w:kern w:val="0"/>
                <w:sz w:val="20"/>
                <w:szCs w:val="20"/>
              </w:rPr>
              <w:t xml:space="preserve">6、六类非屏蔽24口配线架有含模块、水平空架、角型空架三种规格供现场选择使用；配线架水平空架和角型空架为每6个端口为一组，可前端拆卸管理，背架采用冷轧钢板加镀锌设计，屏蔽与非屏蔽通用；                        </w:t>
            </w:r>
            <w:r>
              <w:rPr>
                <w:rFonts w:hint="eastAsia" w:ascii="宋体" w:hAnsi="宋体" w:cs="宋体"/>
                <w:kern w:val="0"/>
                <w:sz w:val="20"/>
                <w:szCs w:val="20"/>
              </w:rPr>
              <w:br w:type="textWrapping"/>
            </w:r>
            <w:r>
              <w:rPr>
                <w:rFonts w:hint="eastAsia" w:ascii="宋体" w:hAnsi="宋体" w:cs="宋体"/>
                <w:kern w:val="0"/>
                <w:sz w:val="20"/>
                <w:szCs w:val="20"/>
              </w:rPr>
              <w:t>7、提供原生产厂家授权和25年售后服务承诺函并盖原厂家公章，为便于采购、安装、测试、产品的质保为保证、系统兼容性及美观性，必须与六类非屏蔽双绞线同一品牌。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9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理线架</w:t>
            </w:r>
          </w:p>
        </w:tc>
        <w:tc>
          <w:tcPr>
            <w:tcW w:w="5423"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1、适用19”网络机柜安装，机架式；组合式结构，上下翻盖式理线架设计；脱卸挂式设计，方便施工；</w:t>
            </w:r>
            <w:r>
              <w:rPr>
                <w:rFonts w:hint="eastAsia" w:ascii="宋体" w:hAnsi="宋体" w:cs="宋体"/>
                <w:kern w:val="0"/>
                <w:sz w:val="20"/>
                <w:szCs w:val="20"/>
              </w:rPr>
              <w:br w:type="textWrapping"/>
            </w:r>
            <w:r>
              <w:rPr>
                <w:rFonts w:hint="eastAsia" w:ascii="宋体" w:hAnsi="宋体" w:cs="宋体"/>
                <w:kern w:val="0"/>
                <w:sz w:val="20"/>
                <w:szCs w:val="20"/>
              </w:rPr>
              <w:t>2、材料：优质冷轧钢板或铝塑两种材质 1.0mm/1.2mm</w:t>
            </w:r>
            <w:r>
              <w:rPr>
                <w:rFonts w:hint="eastAsia" w:ascii="宋体" w:hAnsi="宋体" w:cs="宋体"/>
                <w:kern w:val="0"/>
                <w:sz w:val="20"/>
                <w:szCs w:val="20"/>
              </w:rPr>
              <w:br w:type="textWrapping"/>
            </w:r>
            <w:r>
              <w:rPr>
                <w:rFonts w:hint="eastAsia" w:ascii="宋体" w:hAnsi="宋体" w:cs="宋体"/>
                <w:kern w:val="0"/>
                <w:sz w:val="20"/>
                <w:szCs w:val="20"/>
              </w:rPr>
              <w:t>3、尺寸：1U高度；管理环：24位</w:t>
            </w:r>
            <w:r>
              <w:rPr>
                <w:rFonts w:hint="eastAsia" w:ascii="宋体" w:hAnsi="宋体" w:cs="宋体"/>
                <w:kern w:val="0"/>
                <w:sz w:val="20"/>
                <w:szCs w:val="20"/>
              </w:rPr>
              <w:br w:type="textWrapping"/>
            </w:r>
            <w:r>
              <w:rPr>
                <w:rFonts w:hint="eastAsia" w:ascii="宋体" w:hAnsi="宋体" w:cs="宋体"/>
                <w:kern w:val="0"/>
                <w:sz w:val="20"/>
                <w:szCs w:val="20"/>
              </w:rPr>
              <w:t xml:space="preserve">4、颜色：黑色 ；                                     </w:t>
            </w:r>
            <w:r>
              <w:rPr>
                <w:rFonts w:hint="eastAsia" w:ascii="宋体" w:hAnsi="宋体" w:cs="宋体"/>
                <w:kern w:val="0"/>
                <w:sz w:val="20"/>
                <w:szCs w:val="20"/>
              </w:rPr>
              <w:br w:type="textWrapping"/>
            </w:r>
            <w:r>
              <w:rPr>
                <w:rFonts w:hint="eastAsia" w:ascii="宋体" w:hAnsi="宋体" w:cs="宋体"/>
                <w:kern w:val="0"/>
                <w:sz w:val="20"/>
                <w:szCs w:val="20"/>
              </w:rPr>
              <w:t>5、提供原生产厂家授权和25年售后服务承诺函并盖原厂家公章，为便于采购、安装、测试、产品的质保为保证、系统兼容性及美观性，必须与六类非屏蔽双绞线同一品牌。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r>
      <w:tr>
        <w:tblPrEx>
          <w:tblCellMar>
            <w:top w:w="0" w:type="dxa"/>
            <w:left w:w="108" w:type="dxa"/>
            <w:bottom w:w="0" w:type="dxa"/>
            <w:right w:w="108" w:type="dxa"/>
          </w:tblCellMar>
        </w:tblPrEx>
        <w:trPr>
          <w:trHeight w:val="120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办公区电话配线架</w:t>
            </w:r>
          </w:p>
        </w:tc>
        <w:tc>
          <w:tcPr>
            <w:tcW w:w="5423"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1、配线架为钢架，喷塑，黑色；符合19英寸机架安装标准；</w:t>
            </w:r>
            <w:r>
              <w:rPr>
                <w:rFonts w:hint="eastAsia" w:ascii="宋体" w:hAnsi="宋体" w:cs="宋体"/>
                <w:kern w:val="0"/>
                <w:sz w:val="20"/>
                <w:szCs w:val="20"/>
              </w:rPr>
              <w:br w:type="textWrapping"/>
            </w:r>
            <w:r>
              <w:rPr>
                <w:rFonts w:hint="eastAsia" w:ascii="宋体" w:hAnsi="宋体" w:cs="宋体"/>
                <w:kern w:val="0"/>
                <w:sz w:val="20"/>
                <w:szCs w:val="20"/>
              </w:rPr>
              <w:t>2、RJ11模块插座为ABS工程塑料和聚碳酸酯，IDC打线柱夹子为磷青铜材料，适用于22，24及26AWG（0.64，0.5及0.4mm）线缆，耐用性为250次插拔，采用单对110型打线工具；</w:t>
            </w:r>
            <w:r>
              <w:rPr>
                <w:rFonts w:hint="eastAsia" w:ascii="宋体" w:hAnsi="宋体" w:cs="宋体"/>
                <w:kern w:val="0"/>
                <w:sz w:val="20"/>
                <w:szCs w:val="20"/>
              </w:rPr>
              <w:br w:type="textWrapping"/>
            </w:r>
            <w:r>
              <w:rPr>
                <w:rFonts w:hint="eastAsia" w:ascii="宋体" w:hAnsi="宋体" w:cs="宋体"/>
                <w:kern w:val="0"/>
                <w:sz w:val="20"/>
                <w:szCs w:val="20"/>
              </w:rPr>
              <w:t>3、提供原生产厂家授权和25年售后服务承诺函并盖原厂家公章，为便于采购、安装、测试、产品的质保为保证、系统兼容性及美观性，必须与六类非屏蔽双绞线同一品牌。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192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网络原装跳线</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1、规格：5M CAT6 UTP 4对RJ45/RJ45跳线；</w:t>
            </w:r>
            <w:r>
              <w:rPr>
                <w:rFonts w:hint="eastAsia" w:ascii="宋体" w:hAnsi="宋体" w:cs="宋体"/>
                <w:kern w:val="0"/>
                <w:sz w:val="20"/>
                <w:szCs w:val="20"/>
              </w:rPr>
              <w:br w:type="textWrapping"/>
            </w:r>
            <w:r>
              <w:rPr>
                <w:rFonts w:hint="eastAsia" w:ascii="宋体" w:hAnsi="宋体" w:cs="宋体"/>
                <w:kern w:val="0"/>
                <w:sz w:val="20"/>
                <w:szCs w:val="20"/>
              </w:rPr>
              <w:t>2、标准：完全符合ANSI/TIA-568-C.2-2009标准的要求；</w:t>
            </w:r>
            <w:r>
              <w:rPr>
                <w:rFonts w:hint="eastAsia" w:ascii="宋体" w:hAnsi="宋体" w:cs="宋体"/>
                <w:kern w:val="0"/>
                <w:sz w:val="20"/>
                <w:szCs w:val="20"/>
              </w:rPr>
              <w:br w:type="textWrapping"/>
            </w:r>
            <w:r>
              <w:rPr>
                <w:rFonts w:hint="eastAsia" w:ascii="宋体" w:hAnsi="宋体" w:cs="宋体"/>
                <w:kern w:val="0"/>
                <w:sz w:val="20"/>
                <w:szCs w:val="20"/>
              </w:rPr>
              <w:t>3、传输带宽：CAT6≥350MHz,提供产品彩页证明并加盖原厂公章；；</w:t>
            </w:r>
            <w:r>
              <w:rPr>
                <w:rFonts w:hint="eastAsia" w:ascii="宋体" w:hAnsi="宋体" w:cs="宋体"/>
                <w:kern w:val="0"/>
                <w:sz w:val="20"/>
                <w:szCs w:val="20"/>
              </w:rPr>
              <w:br w:type="textWrapping"/>
            </w:r>
            <w:r>
              <w:rPr>
                <w:rFonts w:hint="eastAsia" w:ascii="宋体" w:hAnsi="宋体" w:cs="宋体"/>
                <w:kern w:val="0"/>
                <w:sz w:val="20"/>
                <w:szCs w:val="20"/>
              </w:rPr>
              <w:t>4、护套要求：PVC材料；</w:t>
            </w:r>
            <w:r>
              <w:rPr>
                <w:rFonts w:hint="eastAsia" w:ascii="宋体" w:hAnsi="宋体" w:cs="宋体"/>
                <w:kern w:val="0"/>
                <w:sz w:val="20"/>
                <w:szCs w:val="20"/>
              </w:rPr>
              <w:br w:type="textWrapping"/>
            </w:r>
            <w:r>
              <w:rPr>
                <w:rFonts w:hint="eastAsia" w:ascii="宋体" w:hAnsi="宋体" w:cs="宋体"/>
                <w:kern w:val="0"/>
                <w:sz w:val="20"/>
                <w:szCs w:val="20"/>
              </w:rPr>
              <w:t>5、颜色组合：可提供多种颜色护套供现场选择；</w:t>
            </w:r>
            <w:r>
              <w:rPr>
                <w:rFonts w:hint="eastAsia" w:ascii="宋体" w:hAnsi="宋体" w:cs="宋体"/>
                <w:kern w:val="0"/>
                <w:sz w:val="20"/>
                <w:szCs w:val="20"/>
              </w:rPr>
              <w:br w:type="textWrapping"/>
            </w:r>
            <w:r>
              <w:rPr>
                <w:rFonts w:hint="eastAsia" w:ascii="宋体" w:hAnsi="宋体" w:cs="宋体"/>
                <w:kern w:val="0"/>
                <w:sz w:val="20"/>
                <w:szCs w:val="20"/>
              </w:rPr>
              <w:t>6、RJ45数据跳线要求为产品制造商的商业成品产品。</w:t>
            </w:r>
            <w:r>
              <w:rPr>
                <w:rFonts w:hint="eastAsia" w:ascii="宋体" w:hAnsi="宋体" w:cs="宋体"/>
                <w:kern w:val="0"/>
                <w:sz w:val="20"/>
                <w:szCs w:val="20"/>
              </w:rPr>
              <w:br w:type="textWrapping"/>
            </w:r>
            <w:r>
              <w:rPr>
                <w:rFonts w:hint="eastAsia" w:ascii="宋体" w:hAnsi="宋体" w:cs="宋体"/>
                <w:kern w:val="0"/>
                <w:sz w:val="20"/>
                <w:szCs w:val="20"/>
              </w:rPr>
              <w:t>7、提供原生产厂家授权和25年售后服务承诺函并盖原厂家公章，为便于采购、安装、测试、产品的质保为保证、系统兼容性及美观性，必须与六类非屏蔽双绞线同一品牌。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根</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r>
      <w:tr>
        <w:tblPrEx>
          <w:tblCellMar>
            <w:top w:w="0" w:type="dxa"/>
            <w:left w:w="108" w:type="dxa"/>
            <w:bottom w:w="0" w:type="dxa"/>
            <w:right w:w="108" w:type="dxa"/>
          </w:tblCellMar>
        </w:tblPrEx>
        <w:trPr>
          <w:trHeight w:val="192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网络原装跳线</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1、规格：3M CAT6 UTP 4对RJ45/RJ45跳线；</w:t>
            </w:r>
            <w:r>
              <w:rPr>
                <w:rFonts w:hint="eastAsia" w:ascii="宋体" w:hAnsi="宋体" w:cs="宋体"/>
                <w:kern w:val="0"/>
                <w:sz w:val="20"/>
                <w:szCs w:val="20"/>
              </w:rPr>
              <w:br w:type="textWrapping"/>
            </w:r>
            <w:r>
              <w:rPr>
                <w:rFonts w:hint="eastAsia" w:ascii="宋体" w:hAnsi="宋体" w:cs="宋体"/>
                <w:kern w:val="0"/>
                <w:sz w:val="20"/>
                <w:szCs w:val="20"/>
              </w:rPr>
              <w:t>2、标准：完全符合ANSI/TIA-568-C.2-2009标准的要求；</w:t>
            </w:r>
            <w:r>
              <w:rPr>
                <w:rFonts w:hint="eastAsia" w:ascii="宋体" w:hAnsi="宋体" w:cs="宋体"/>
                <w:kern w:val="0"/>
                <w:sz w:val="20"/>
                <w:szCs w:val="20"/>
              </w:rPr>
              <w:br w:type="textWrapping"/>
            </w:r>
            <w:r>
              <w:rPr>
                <w:rFonts w:hint="eastAsia" w:ascii="宋体" w:hAnsi="宋体" w:cs="宋体"/>
                <w:kern w:val="0"/>
                <w:sz w:val="20"/>
                <w:szCs w:val="20"/>
              </w:rPr>
              <w:t>3、传输带宽：CAT6≥350MHz,提供产品彩页证明并加盖原厂公章；；</w:t>
            </w:r>
            <w:r>
              <w:rPr>
                <w:rFonts w:hint="eastAsia" w:ascii="宋体" w:hAnsi="宋体" w:cs="宋体"/>
                <w:kern w:val="0"/>
                <w:sz w:val="20"/>
                <w:szCs w:val="20"/>
              </w:rPr>
              <w:br w:type="textWrapping"/>
            </w:r>
            <w:r>
              <w:rPr>
                <w:rFonts w:hint="eastAsia" w:ascii="宋体" w:hAnsi="宋体" w:cs="宋体"/>
                <w:kern w:val="0"/>
                <w:sz w:val="20"/>
                <w:szCs w:val="20"/>
              </w:rPr>
              <w:t>4、护套要求：PVC材料；</w:t>
            </w:r>
            <w:r>
              <w:rPr>
                <w:rFonts w:hint="eastAsia" w:ascii="宋体" w:hAnsi="宋体" w:cs="宋体"/>
                <w:kern w:val="0"/>
                <w:sz w:val="20"/>
                <w:szCs w:val="20"/>
              </w:rPr>
              <w:br w:type="textWrapping"/>
            </w:r>
            <w:r>
              <w:rPr>
                <w:rFonts w:hint="eastAsia" w:ascii="宋体" w:hAnsi="宋体" w:cs="宋体"/>
                <w:kern w:val="0"/>
                <w:sz w:val="20"/>
                <w:szCs w:val="20"/>
              </w:rPr>
              <w:t>5、颜色组合：可提供多种颜色护套供现场选择；</w:t>
            </w:r>
            <w:r>
              <w:rPr>
                <w:rFonts w:hint="eastAsia" w:ascii="宋体" w:hAnsi="宋体" w:cs="宋体"/>
                <w:kern w:val="0"/>
                <w:sz w:val="20"/>
                <w:szCs w:val="20"/>
              </w:rPr>
              <w:br w:type="textWrapping"/>
            </w:r>
            <w:r>
              <w:rPr>
                <w:rFonts w:hint="eastAsia" w:ascii="宋体" w:hAnsi="宋体" w:cs="宋体"/>
                <w:kern w:val="0"/>
                <w:sz w:val="20"/>
                <w:szCs w:val="20"/>
              </w:rPr>
              <w:t>6、RJ45数据跳线要求为产品制造商的商业成品产品。</w:t>
            </w:r>
            <w:r>
              <w:rPr>
                <w:rFonts w:hint="eastAsia" w:ascii="宋体" w:hAnsi="宋体" w:cs="宋体"/>
                <w:kern w:val="0"/>
                <w:sz w:val="20"/>
                <w:szCs w:val="20"/>
              </w:rPr>
              <w:br w:type="textWrapping"/>
            </w:r>
            <w:r>
              <w:rPr>
                <w:rFonts w:hint="eastAsia" w:ascii="宋体" w:hAnsi="宋体" w:cs="宋体"/>
                <w:kern w:val="0"/>
                <w:sz w:val="20"/>
                <w:szCs w:val="20"/>
              </w:rPr>
              <w:t>7、为了保证产品质量及相应的售后服务，综合布线必须有厂家的项目授权书和25年质量保证服务；为便于采购、安装、测试、产品的质保为保证、系统兼容性及美观性，必须与六类非屏蔽双绞线同一品牌。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根</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r>
      <w:tr>
        <w:tblPrEx>
          <w:tblCellMar>
            <w:top w:w="0" w:type="dxa"/>
            <w:left w:w="108" w:type="dxa"/>
            <w:bottom w:w="0" w:type="dxa"/>
            <w:right w:w="108" w:type="dxa"/>
          </w:tblCellMar>
        </w:tblPrEx>
        <w:trPr>
          <w:trHeight w:val="72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水晶头</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1、材料采用高密度聚乙烯和50μ镀金三叉簧片；两段式卡片结构；</w:t>
            </w:r>
          </w:p>
          <w:p>
            <w:pPr>
              <w:widowControl/>
              <w:jc w:val="left"/>
              <w:rPr>
                <w:rFonts w:ascii="宋体" w:hAnsi="宋体" w:cs="宋体"/>
                <w:kern w:val="0"/>
                <w:sz w:val="20"/>
                <w:szCs w:val="20"/>
              </w:rPr>
            </w:pPr>
            <w:r>
              <w:rPr>
                <w:rFonts w:hint="eastAsia" w:ascii="宋体" w:hAnsi="宋体" w:cs="宋体"/>
                <w:kern w:val="0"/>
                <w:sz w:val="20"/>
                <w:szCs w:val="20"/>
              </w:rPr>
              <w:t>2、为了保证产品质量及相应的售后服务，综合布线必须有厂家的项目授权书和5年质量保证服务；为便于采购、安装、测试、产品的质保为保证、系统兼容性及美观性，必须与六类非屏蔽双绞线同一品牌。</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盒</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CellMar>
            <w:top w:w="0" w:type="dxa"/>
            <w:left w:w="108" w:type="dxa"/>
            <w:bottom w:w="0" w:type="dxa"/>
            <w:right w:w="108" w:type="dxa"/>
          </w:tblCellMar>
        </w:tblPrEx>
        <w:trPr>
          <w:trHeight w:val="305"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网络机柜12U</w:t>
            </w:r>
          </w:p>
        </w:tc>
        <w:tc>
          <w:tcPr>
            <w:tcW w:w="5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尺寸：600*600*600（宽*深*高）12U</w:t>
            </w:r>
            <w:r>
              <w:rPr>
                <w:rFonts w:hint="eastAsia" w:ascii="宋体" w:hAnsi="宋体" w:cs="宋体"/>
                <w:kern w:val="0"/>
                <w:sz w:val="20"/>
                <w:szCs w:val="20"/>
              </w:rPr>
              <w:br w:type="textWrapping"/>
            </w:r>
            <w:r>
              <w:rPr>
                <w:rFonts w:hint="eastAsia" w:ascii="宋体" w:hAnsi="宋体" w:cs="宋体"/>
                <w:kern w:val="0"/>
                <w:sz w:val="20"/>
                <w:szCs w:val="20"/>
              </w:rPr>
              <w:t>参数：前后网孔, 颜色黑的.</w:t>
            </w:r>
            <w:r>
              <w:rPr>
                <w:rFonts w:hint="eastAsia" w:ascii="宋体" w:hAnsi="宋体" w:cs="宋体"/>
                <w:kern w:val="0"/>
                <w:sz w:val="20"/>
                <w:szCs w:val="20"/>
              </w:rPr>
              <w:br w:type="textWrapping"/>
            </w:r>
            <w:r>
              <w:rPr>
                <w:rFonts w:hint="eastAsia" w:ascii="宋体" w:hAnsi="宋体" w:cs="宋体"/>
                <w:kern w:val="0"/>
                <w:sz w:val="20"/>
                <w:szCs w:val="20"/>
              </w:rPr>
              <w:t>配置：1个层板20套螺丝</w:t>
            </w:r>
            <w:r>
              <w:rPr>
                <w:rFonts w:hint="eastAsia" w:ascii="宋体" w:hAnsi="宋体" w:cs="宋体"/>
                <w:kern w:val="0"/>
                <w:sz w:val="20"/>
                <w:szCs w:val="20"/>
              </w:rPr>
              <w:br w:type="textWrapping"/>
            </w:r>
            <w:r>
              <w:rPr>
                <w:rFonts w:hint="eastAsia" w:ascii="宋体" w:hAnsi="宋体" w:cs="宋体"/>
                <w:kern w:val="0"/>
                <w:sz w:val="20"/>
                <w:szCs w:val="20"/>
              </w:rPr>
              <w:t xml:space="preserve">板材厚度：整体采用组装，立柱2.0MM带U标；框架厚度1.0MM，侧面0.8MM冷扎钢板。 </w:t>
            </w:r>
            <w:r>
              <w:rPr>
                <w:rFonts w:hint="eastAsia" w:ascii="宋体" w:hAnsi="宋体" w:cs="宋体"/>
                <w:kern w:val="0"/>
                <w:sz w:val="20"/>
                <w:szCs w:val="20"/>
              </w:rPr>
              <w:br w:type="textWrapping"/>
            </w:r>
            <w:r>
              <w:rPr>
                <w:rFonts w:hint="eastAsia" w:ascii="宋体" w:hAnsi="宋体" w:cs="宋体"/>
                <w:kern w:val="0"/>
                <w:sz w:val="20"/>
                <w:szCs w:val="20"/>
              </w:rPr>
              <w:t>采用优质冷轧钢板表面脱脂酸洗、磷化、静电喷塑；</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r>
      <w:tr>
        <w:tblPrEx>
          <w:tblCellMar>
            <w:top w:w="0" w:type="dxa"/>
            <w:left w:w="108" w:type="dxa"/>
            <w:bottom w:w="0" w:type="dxa"/>
            <w:right w:w="108" w:type="dxa"/>
          </w:tblCellMar>
        </w:tblPrEx>
        <w:trPr>
          <w:trHeight w:val="24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电气配管</w:t>
            </w:r>
          </w:p>
        </w:tc>
        <w:tc>
          <w:tcPr>
            <w:tcW w:w="54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highlight w:val="yellow"/>
              </w:rPr>
              <w:t>JDG-Q235Ф20</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6500</w:t>
            </w:r>
          </w:p>
        </w:tc>
      </w:tr>
      <w:tr>
        <w:tblPrEx>
          <w:tblCellMar>
            <w:top w:w="0" w:type="dxa"/>
            <w:left w:w="108" w:type="dxa"/>
            <w:bottom w:w="0" w:type="dxa"/>
            <w:right w:w="108" w:type="dxa"/>
          </w:tblCellMar>
        </w:tblPrEx>
        <w:trPr>
          <w:trHeight w:val="24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电气配管</w:t>
            </w:r>
          </w:p>
        </w:tc>
        <w:tc>
          <w:tcPr>
            <w:tcW w:w="54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JDG-Q235Ф25</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4000</w:t>
            </w:r>
          </w:p>
        </w:tc>
      </w:tr>
      <w:tr>
        <w:tblPrEx>
          <w:tblCellMar>
            <w:top w:w="0" w:type="dxa"/>
            <w:left w:w="108" w:type="dxa"/>
            <w:bottom w:w="0" w:type="dxa"/>
            <w:right w:w="108" w:type="dxa"/>
          </w:tblCellMar>
        </w:tblPrEx>
        <w:trPr>
          <w:trHeight w:val="24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桥架</w:t>
            </w:r>
          </w:p>
        </w:tc>
        <w:tc>
          <w:tcPr>
            <w:tcW w:w="54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300*100mm厚度1.2mm,含安装配件</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1350</w:t>
            </w:r>
          </w:p>
        </w:tc>
      </w:tr>
      <w:tr>
        <w:tblPrEx>
          <w:tblCellMar>
            <w:top w:w="0" w:type="dxa"/>
            <w:left w:w="108" w:type="dxa"/>
            <w:bottom w:w="0" w:type="dxa"/>
            <w:right w:w="108" w:type="dxa"/>
          </w:tblCellMar>
        </w:tblPrEx>
        <w:trPr>
          <w:trHeight w:val="24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12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辅材</w:t>
            </w:r>
          </w:p>
        </w:tc>
        <w:tc>
          <w:tcPr>
            <w:tcW w:w="54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批</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bl>
    <w:p>
      <w:pPr>
        <w:jc w:val="center"/>
        <w:rPr>
          <w:rFonts w:ascii="宋体" w:hAnsi="宋体"/>
          <w:b/>
          <w:sz w:val="24"/>
        </w:rPr>
      </w:pPr>
    </w:p>
    <w:p/>
    <w:p>
      <w:pPr>
        <w:pStyle w:val="4"/>
        <w:spacing w:line="360" w:lineRule="auto"/>
        <w:rPr>
          <w:rFonts w:hAnsi="宋体"/>
          <w:sz w:val="24"/>
          <w:szCs w:val="24"/>
        </w:rPr>
      </w:pPr>
      <w:bookmarkStart w:id="19" w:name="_Toc29394981"/>
      <w:r>
        <w:rPr>
          <w:rFonts w:hint="eastAsia" w:hAnsi="宋体"/>
          <w:sz w:val="24"/>
          <w:szCs w:val="24"/>
        </w:rPr>
        <w:t>三、语音系统（三网）</w:t>
      </w:r>
      <w:bookmarkEnd w:id="19"/>
    </w:p>
    <w:p>
      <w:pPr>
        <w:spacing w:line="360" w:lineRule="auto"/>
        <w:rPr>
          <w:rFonts w:ascii="宋体" w:hAnsi="宋体" w:cs="宋体"/>
          <w:sz w:val="24"/>
        </w:rPr>
      </w:pPr>
      <w:r>
        <w:tab/>
      </w:r>
      <w:r>
        <w:rPr>
          <w:rFonts w:hint="eastAsia" w:ascii="宋体" w:hAnsi="宋体" w:cs="宋体"/>
          <w:sz w:val="24"/>
        </w:rPr>
        <w:t>本系统为我司为各品牌专厅提供语音、宽带上网功能，末端信息点布放至柱头检修口附近，并预留5米，方便专厅后续接入，蝶形光缆铺设应符合下列规定：</w:t>
      </w:r>
    </w:p>
    <w:p>
      <w:pPr>
        <w:pStyle w:val="46"/>
        <w:numPr>
          <w:ilvl w:val="0"/>
          <w:numId w:val="3"/>
        </w:numPr>
        <w:spacing w:line="360" w:lineRule="auto"/>
        <w:ind w:firstLineChars="0"/>
        <w:rPr>
          <w:rFonts w:ascii="宋体" w:hAnsi="宋体" w:cs="宋体"/>
          <w:sz w:val="24"/>
        </w:rPr>
      </w:pPr>
      <w:r>
        <w:rPr>
          <w:rFonts w:hint="eastAsia" w:ascii="宋体" w:hAnsi="宋体" w:cs="宋体"/>
          <w:sz w:val="24"/>
        </w:rPr>
        <w:t>线缆两头用机打标签标识，预留5米线端，标签位置应合理，不至二次</w:t>
      </w:r>
    </w:p>
    <w:p>
      <w:pPr>
        <w:spacing w:line="360" w:lineRule="auto"/>
        <w:rPr>
          <w:rFonts w:ascii="宋体" w:hAnsi="宋体" w:cs="宋体"/>
          <w:sz w:val="24"/>
        </w:rPr>
      </w:pPr>
      <w:r>
        <w:rPr>
          <w:rFonts w:hint="eastAsia" w:ascii="宋体" w:hAnsi="宋体" w:cs="宋体"/>
          <w:sz w:val="24"/>
        </w:rPr>
        <w:t>铺设造成损毁、丢失；</w:t>
      </w:r>
    </w:p>
    <w:p>
      <w:pPr>
        <w:pStyle w:val="46"/>
        <w:numPr>
          <w:ilvl w:val="0"/>
          <w:numId w:val="3"/>
        </w:numPr>
        <w:spacing w:line="360" w:lineRule="auto"/>
        <w:ind w:firstLineChars="0"/>
        <w:rPr>
          <w:rFonts w:ascii="宋体" w:hAnsi="宋体" w:cs="宋体"/>
          <w:sz w:val="24"/>
        </w:rPr>
      </w:pPr>
      <w:r>
        <w:rPr>
          <w:rFonts w:hint="eastAsia" w:ascii="宋体" w:hAnsi="宋体" w:cs="宋体"/>
          <w:sz w:val="24"/>
        </w:rPr>
        <w:t>蝶形光缆暗敷，穿放于桥架、</w:t>
      </w:r>
      <w:r>
        <w:rPr>
          <w:rFonts w:ascii="宋体" w:hAnsi="宋体" w:cs="宋体"/>
          <w:sz w:val="24"/>
        </w:rPr>
        <w:t>JDG</w:t>
      </w:r>
      <w:r>
        <w:rPr>
          <w:rFonts w:hint="eastAsia" w:ascii="宋体" w:hAnsi="宋体" w:cs="宋体"/>
          <w:sz w:val="24"/>
        </w:rPr>
        <w:t>管中；</w:t>
      </w:r>
    </w:p>
    <w:p>
      <w:pPr>
        <w:pStyle w:val="46"/>
        <w:numPr>
          <w:ilvl w:val="0"/>
          <w:numId w:val="3"/>
        </w:numPr>
        <w:spacing w:line="360" w:lineRule="auto"/>
        <w:ind w:firstLineChars="0"/>
        <w:rPr>
          <w:rFonts w:ascii="宋体" w:hAnsi="宋体" w:cs="宋体"/>
          <w:sz w:val="24"/>
          <w:szCs w:val="24"/>
        </w:rPr>
      </w:pPr>
      <w:r>
        <w:rPr>
          <w:rFonts w:hint="eastAsia" w:ascii="宋体" w:hAnsi="宋体" w:cs="宋体"/>
          <w:sz w:val="24"/>
          <w:szCs w:val="24"/>
        </w:rPr>
        <w:t>敷设时的牵引力不易超过光缆允许张力的80%，瞬间最大牵引力不得超过</w:t>
      </w:r>
    </w:p>
    <w:p>
      <w:pPr>
        <w:spacing w:line="360" w:lineRule="auto"/>
        <w:rPr>
          <w:rFonts w:ascii="宋体" w:hAnsi="宋体" w:cs="宋体"/>
          <w:sz w:val="24"/>
        </w:rPr>
      </w:pPr>
      <w:r>
        <w:rPr>
          <w:rFonts w:hint="eastAsia" w:ascii="宋体" w:hAnsi="宋体" w:cs="宋体"/>
          <w:sz w:val="24"/>
        </w:rPr>
        <w:t>光缆允许张力的100%，且主要牵引力应加在光缆的加强构建上；</w:t>
      </w:r>
    </w:p>
    <w:p>
      <w:pPr>
        <w:spacing w:line="360" w:lineRule="auto"/>
        <w:rPr>
          <w:rFonts w:ascii="宋体" w:hAnsi="宋体" w:cs="宋体"/>
          <w:sz w:val="24"/>
        </w:rPr>
      </w:pPr>
      <w:r>
        <w:rPr>
          <w:rFonts w:ascii="宋体" w:hAnsi="宋体" w:cs="宋体"/>
          <w:sz w:val="24"/>
        </w:rPr>
        <w:tab/>
      </w:r>
      <w:r>
        <w:rPr>
          <w:rFonts w:hint="eastAsia" w:ascii="宋体" w:hAnsi="宋体" w:cs="宋体"/>
          <w:sz w:val="24"/>
        </w:rPr>
        <w:t>4．蝶形光缆敷设的最小弯曲半径应符合下列要求：</w:t>
      </w:r>
    </w:p>
    <w:p>
      <w:pPr>
        <w:spacing w:line="360" w:lineRule="auto"/>
        <w:rPr>
          <w:rFonts w:ascii="宋体" w:hAnsi="宋体" w:cs="宋体"/>
          <w:sz w:val="24"/>
        </w:rPr>
      </w:pPr>
      <w:r>
        <w:rPr>
          <w:rFonts w:ascii="宋体" w:hAnsi="宋体" w:cs="宋体"/>
          <w:sz w:val="24"/>
        </w:rPr>
        <w:tab/>
      </w:r>
      <w:r>
        <w:rPr>
          <w:rFonts w:hint="eastAsia" w:ascii="宋体" w:hAnsi="宋体" w:cs="宋体"/>
          <w:b/>
          <w:sz w:val="24"/>
        </w:rPr>
        <w:t>※</w:t>
      </w:r>
      <w:r>
        <w:rPr>
          <w:rFonts w:ascii="宋体" w:hAnsi="宋体" w:cs="宋体"/>
          <w:sz w:val="24"/>
        </w:rPr>
        <w:t xml:space="preserve"> </w:t>
      </w:r>
      <w:r>
        <w:rPr>
          <w:rFonts w:hint="eastAsia" w:ascii="宋体" w:hAnsi="宋体" w:cs="宋体"/>
          <w:sz w:val="24"/>
        </w:rPr>
        <w:t>敷设过程中蝶形光缆弯曲半径不应小于30mm；</w:t>
      </w:r>
    </w:p>
    <w:p>
      <w:pPr>
        <w:spacing w:line="360" w:lineRule="auto"/>
        <w:rPr>
          <w:rFonts w:ascii="宋体" w:hAnsi="宋体" w:cs="宋体"/>
          <w:sz w:val="24"/>
        </w:rPr>
      </w:pPr>
      <w:r>
        <w:rPr>
          <w:rFonts w:ascii="宋体" w:hAnsi="宋体" w:cs="宋体"/>
          <w:sz w:val="24"/>
        </w:rPr>
        <w:tab/>
      </w:r>
      <w:r>
        <w:rPr>
          <w:rFonts w:hint="eastAsia" w:ascii="宋体" w:hAnsi="宋体" w:cs="宋体"/>
          <w:b/>
          <w:sz w:val="24"/>
        </w:rPr>
        <w:t>※</w:t>
      </w:r>
      <w:r>
        <w:rPr>
          <w:rFonts w:ascii="宋体" w:hAnsi="宋体" w:cs="宋体"/>
          <w:b/>
          <w:sz w:val="24"/>
        </w:rPr>
        <w:t xml:space="preserve"> </w:t>
      </w:r>
      <w:r>
        <w:rPr>
          <w:rFonts w:hint="eastAsia" w:ascii="宋体" w:hAnsi="宋体" w:cs="宋体"/>
          <w:sz w:val="24"/>
        </w:rPr>
        <w:t>固定后蝶形光缆弯曲半径不应小于15mm；</w:t>
      </w:r>
    </w:p>
    <w:p>
      <w:pPr>
        <w:spacing w:line="360" w:lineRule="auto"/>
        <w:rPr>
          <w:rFonts w:ascii="宋体" w:hAnsi="宋体" w:cs="宋体"/>
          <w:sz w:val="24"/>
        </w:rPr>
      </w:pPr>
      <w:r>
        <w:rPr>
          <w:rFonts w:ascii="宋体" w:hAnsi="宋体" w:cs="宋体"/>
          <w:sz w:val="24"/>
        </w:rPr>
        <w:tab/>
      </w:r>
      <w:r>
        <w:rPr>
          <w:rFonts w:ascii="宋体" w:hAnsi="宋体" w:cs="宋体"/>
          <w:sz w:val="24"/>
        </w:rPr>
        <w:t>5</w:t>
      </w:r>
      <w:r>
        <w:rPr>
          <w:rFonts w:hint="eastAsia" w:ascii="宋体" w:hAnsi="宋体" w:cs="宋体"/>
          <w:sz w:val="24"/>
        </w:rPr>
        <w:t>．蝶形光缆进入设备间机柜后预留1m长度；</w:t>
      </w:r>
    </w:p>
    <w:p>
      <w:pPr>
        <w:spacing w:line="360" w:lineRule="auto"/>
        <w:jc w:val="center"/>
        <w:rPr>
          <w:rFonts w:ascii="宋体" w:hAnsi="宋体"/>
          <w:b/>
          <w:sz w:val="24"/>
        </w:rPr>
      </w:pPr>
      <w:r>
        <w:rPr>
          <w:rFonts w:hint="eastAsia" w:hAnsi="宋体"/>
          <w:b/>
          <w:sz w:val="24"/>
        </w:rPr>
        <w:t>语音系统（三网）</w:t>
      </w:r>
      <w:r>
        <w:rPr>
          <w:rFonts w:hint="eastAsia" w:ascii="宋体" w:hAnsi="宋体"/>
          <w:b/>
          <w:sz w:val="24"/>
        </w:rPr>
        <w:t>设备清单</w:t>
      </w:r>
    </w:p>
    <w:tbl>
      <w:tblPr>
        <w:tblStyle w:val="24"/>
        <w:tblW w:w="8506" w:type="dxa"/>
        <w:tblInd w:w="113" w:type="dxa"/>
        <w:tblLayout w:type="autofit"/>
        <w:tblCellMar>
          <w:top w:w="0" w:type="dxa"/>
          <w:left w:w="108" w:type="dxa"/>
          <w:bottom w:w="0" w:type="dxa"/>
          <w:right w:w="108" w:type="dxa"/>
        </w:tblCellMar>
      </w:tblPr>
      <w:tblGrid>
        <w:gridCol w:w="580"/>
        <w:gridCol w:w="1240"/>
        <w:gridCol w:w="5328"/>
        <w:gridCol w:w="574"/>
        <w:gridCol w:w="784"/>
      </w:tblGrid>
      <w:tr>
        <w:tblPrEx>
          <w:tblCellMar>
            <w:top w:w="0" w:type="dxa"/>
            <w:left w:w="108" w:type="dxa"/>
            <w:bottom w:w="0" w:type="dxa"/>
            <w:right w:w="108" w:type="dxa"/>
          </w:tblCellMar>
        </w:tblPrEx>
        <w:trPr>
          <w:trHeight w:val="240"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2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设备名称</w:t>
            </w:r>
          </w:p>
        </w:tc>
        <w:tc>
          <w:tcPr>
            <w:tcW w:w="532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参数</w:t>
            </w:r>
          </w:p>
        </w:tc>
        <w:tc>
          <w:tcPr>
            <w:tcW w:w="57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7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w:t>
            </w:r>
          </w:p>
        </w:tc>
      </w:tr>
      <w:tr>
        <w:tblPrEx>
          <w:tblCellMar>
            <w:top w:w="0" w:type="dxa"/>
            <w:left w:w="108" w:type="dxa"/>
            <w:bottom w:w="0" w:type="dxa"/>
            <w:right w:w="108" w:type="dxa"/>
          </w:tblCellMar>
        </w:tblPrEx>
        <w:trPr>
          <w:trHeight w:val="52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2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皮线光缆</w:t>
            </w:r>
          </w:p>
        </w:tc>
        <w:tc>
          <w:tcPr>
            <w:tcW w:w="532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1、应用范围：光纤到户（FTTH）、光纤到桌面（FTTD）、光纤到楼（FTTB）；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2、采用蝶形光缆，蝶形光缆是将光通信元单模双芯处于中心，两侧放置两根平行钢丝，最后，挤制黑色或彩色低烟无卤护套成缆；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特种耐弯光纤，提供更大的带宽，增强网络传输特性；两根平行钢丝使光缆具有良好的抗性，保护光钎光缆结构简单，重量轻，实用性强；独特的凹槽设计，易剥离，方便接续，简化安装和维护；低烟无卤阻燃护套，环保；</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为了保证产品质量及相应的售后服务，综合布线必须有厂家的项目授权书和25年质量保证服务；为便于采购、安装、测试、提供方便可靠的产品质量保证、系统兼容性及美观性，必须与六类非屏蔽双绞线同一品牌。</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78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14000</w:t>
            </w:r>
          </w:p>
        </w:tc>
      </w:tr>
      <w:tr>
        <w:tblPrEx>
          <w:tblCellMar>
            <w:top w:w="0" w:type="dxa"/>
            <w:left w:w="108" w:type="dxa"/>
            <w:bottom w:w="0" w:type="dxa"/>
            <w:right w:w="108" w:type="dxa"/>
          </w:tblCellMar>
        </w:tblPrEx>
        <w:trPr>
          <w:trHeight w:val="168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2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网络机柜12U</w:t>
            </w:r>
          </w:p>
        </w:tc>
        <w:tc>
          <w:tcPr>
            <w:tcW w:w="532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尺寸：600*600*600（宽*深*高）12U；</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参数：前后网孔, 颜色黑色；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配置：1个层板，C2120套螺丝；</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板材厚度：整体采用组装，立柱2.0MM，带U标，框架厚度1.0MM，侧面0.8MM冷扎钢板；采用优质冷轧钢板表面脱脂、酸洗、磷化、静电喷塑。</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78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r>
    </w:tbl>
    <w:p>
      <w:pPr>
        <w:spacing w:line="360" w:lineRule="auto"/>
        <w:jc w:val="center"/>
        <w:rPr>
          <w:rFonts w:ascii="宋体" w:hAnsi="宋体" w:cs="宋体"/>
          <w:b/>
          <w:sz w:val="24"/>
        </w:rPr>
      </w:pPr>
    </w:p>
    <w:p>
      <w:pPr>
        <w:pStyle w:val="4"/>
        <w:spacing w:line="360" w:lineRule="auto"/>
        <w:rPr>
          <w:rFonts w:hAnsi="宋体"/>
          <w:sz w:val="24"/>
          <w:szCs w:val="24"/>
        </w:rPr>
      </w:pPr>
      <w:bookmarkStart w:id="20" w:name="_Toc29394982"/>
      <w:r>
        <w:rPr>
          <w:rFonts w:hint="eastAsia" w:hAnsi="宋体"/>
          <w:sz w:val="24"/>
          <w:szCs w:val="24"/>
        </w:rPr>
        <w:t>四、计算机网络系统</w:t>
      </w:r>
      <w:bookmarkEnd w:id="20"/>
    </w:p>
    <w:p>
      <w:pPr>
        <w:spacing w:line="360" w:lineRule="auto"/>
        <w:ind w:firstLine="480" w:firstLineChars="200"/>
        <w:rPr>
          <w:rFonts w:ascii="宋体" w:hAnsi="宋体" w:cs="宋体"/>
          <w:sz w:val="24"/>
        </w:rPr>
      </w:pPr>
      <w:r>
        <w:rPr>
          <w:rFonts w:hint="eastAsia" w:ascii="宋体" w:hAnsi="宋体" w:cs="宋体"/>
          <w:sz w:val="24"/>
        </w:rPr>
        <w:t>本次信息化主要建设有线办公网络以及全楼无线覆盖，无线收银系统全网均使用二层架构。采用千兆主干，千兆接入。</w:t>
      </w:r>
    </w:p>
    <w:p>
      <w:pPr>
        <w:spacing w:line="360" w:lineRule="auto"/>
        <w:ind w:firstLine="482" w:firstLineChars="200"/>
        <w:rPr>
          <w:rFonts w:ascii="宋体" w:hAnsi="宋体"/>
          <w:sz w:val="24"/>
        </w:rPr>
      </w:pPr>
      <w:r>
        <w:rPr>
          <w:rFonts w:hint="eastAsia" w:ascii="宋体" w:hAnsi="宋体"/>
          <w:b/>
          <w:sz w:val="24"/>
        </w:rPr>
        <w:t>1.核心层要求：</w:t>
      </w:r>
      <w:r>
        <w:rPr>
          <w:rFonts w:hint="eastAsia" w:ascii="宋体" w:hAnsi="宋体"/>
          <w:sz w:val="24"/>
        </w:rPr>
        <w:t>核心层交换机要求实现路由管理、网络管理、网络服务、核心数据处理等，核心交换</w:t>
      </w:r>
      <w:r>
        <w:rPr>
          <w:rFonts w:ascii="宋体" w:hAnsi="宋体"/>
          <w:sz w:val="24"/>
        </w:rPr>
        <w:t>并与各服务器、存储等核心</w:t>
      </w:r>
      <w:r>
        <w:rPr>
          <w:rFonts w:hint="eastAsia" w:ascii="宋体" w:hAnsi="宋体"/>
          <w:sz w:val="24"/>
        </w:rPr>
        <w:t>业务</w:t>
      </w:r>
      <w:r>
        <w:rPr>
          <w:rFonts w:ascii="宋体" w:hAnsi="宋体"/>
          <w:sz w:val="24"/>
        </w:rPr>
        <w:t>应用相连</w:t>
      </w:r>
      <w:r>
        <w:rPr>
          <w:rFonts w:hint="eastAsia" w:ascii="宋体" w:hAnsi="宋体"/>
          <w:sz w:val="24"/>
        </w:rPr>
        <w:t>，要求核心交换机具有对数据高密度的转发能力。</w:t>
      </w:r>
    </w:p>
    <w:p>
      <w:pPr>
        <w:spacing w:line="360" w:lineRule="auto"/>
        <w:ind w:firstLine="480" w:firstLineChars="200"/>
        <w:rPr>
          <w:rFonts w:ascii="宋体" w:hAnsi="宋体"/>
          <w:sz w:val="24"/>
        </w:rPr>
      </w:pPr>
      <w:r>
        <w:rPr>
          <w:rFonts w:hint="eastAsia" w:ascii="宋体" w:hAnsi="宋体"/>
          <w:sz w:val="24"/>
        </w:rPr>
        <w:t>本次要求在</w:t>
      </w:r>
      <w:r>
        <w:rPr>
          <w:rFonts w:ascii="宋体" w:hAnsi="宋体"/>
          <w:sz w:val="24"/>
        </w:rPr>
        <w:t>核心层</w:t>
      </w:r>
      <w:r>
        <w:rPr>
          <w:rFonts w:hint="eastAsia" w:ascii="宋体" w:hAnsi="宋体"/>
          <w:sz w:val="24"/>
        </w:rPr>
        <w:t>部署1台高性能电信级智能核心路由交换机，其支持CLOS多级交换、支持802.1X、MAC、Portal等认证方式。要求核心交换机采用模块设备提供双主控、双交流电源。</w:t>
      </w:r>
    </w:p>
    <w:p>
      <w:pPr>
        <w:spacing w:line="360" w:lineRule="auto"/>
        <w:ind w:firstLine="482" w:firstLineChars="200"/>
        <w:rPr>
          <w:rFonts w:ascii="宋体" w:hAnsi="宋体"/>
          <w:sz w:val="24"/>
        </w:rPr>
      </w:pPr>
      <w:r>
        <w:rPr>
          <w:rFonts w:hint="eastAsia" w:ascii="宋体" w:hAnsi="宋体"/>
          <w:b/>
          <w:sz w:val="24"/>
        </w:rPr>
        <w:t>2.接入交换机要求：</w:t>
      </w:r>
      <w:r>
        <w:rPr>
          <w:rFonts w:hint="eastAsia" w:ascii="宋体" w:hAnsi="宋体"/>
          <w:sz w:val="24"/>
        </w:rPr>
        <w:t>由于各个楼层的即有信息化接入点也需要连接无线接入点，接入层用来减轻核心层的负担。要求接入层交换机采用全千兆交换机，应能够实现对用户的访问控制，并具有较强的安全和</w:t>
      </w:r>
      <w:r>
        <w:rPr>
          <w:rFonts w:ascii="宋体" w:hAnsi="宋体"/>
          <w:sz w:val="24"/>
        </w:rPr>
        <w:t>QOS</w:t>
      </w:r>
      <w:r>
        <w:rPr>
          <w:rFonts w:hint="eastAsia" w:ascii="宋体" w:hAnsi="宋体"/>
          <w:sz w:val="24"/>
        </w:rPr>
        <w:t>控制功能，支持</w:t>
      </w:r>
      <w:r>
        <w:rPr>
          <w:rFonts w:ascii="宋体" w:hAnsi="宋体"/>
          <w:sz w:val="24"/>
        </w:rPr>
        <w:t>802.1x</w:t>
      </w:r>
      <w:r>
        <w:rPr>
          <w:rFonts w:hint="eastAsia" w:ascii="宋体" w:hAnsi="宋体"/>
          <w:sz w:val="24"/>
        </w:rPr>
        <w:t>的认证，提供千兆上联，支持</w:t>
      </w:r>
      <w:r>
        <w:rPr>
          <w:rFonts w:ascii="宋体" w:hAnsi="宋体"/>
          <w:sz w:val="24"/>
        </w:rPr>
        <w:t>SMNP</w:t>
      </w:r>
      <w:r>
        <w:rPr>
          <w:rFonts w:hint="eastAsia" w:ascii="宋体" w:hAnsi="宋体"/>
          <w:sz w:val="24"/>
        </w:rPr>
        <w:t>的网管。</w:t>
      </w:r>
    </w:p>
    <w:p>
      <w:pPr>
        <w:spacing w:line="360" w:lineRule="auto"/>
        <w:ind w:firstLine="482" w:firstLineChars="200"/>
        <w:rPr>
          <w:rFonts w:ascii="宋体" w:hAnsi="宋体"/>
          <w:sz w:val="24"/>
        </w:rPr>
      </w:pPr>
      <w:r>
        <w:rPr>
          <w:rFonts w:hint="eastAsia" w:ascii="宋体" w:hAnsi="宋体"/>
          <w:b/>
          <w:sz w:val="24"/>
        </w:rPr>
        <w:t>3.无线要求：</w:t>
      </w:r>
      <w:r>
        <w:rPr>
          <w:rFonts w:hint="eastAsia" w:ascii="宋体" w:hAnsi="宋体"/>
          <w:sz w:val="24"/>
        </w:rPr>
        <w:t>为了保证系统先进性，提供主流无线协议802.11ac，同时能够兼容现有的802.11a/b/g/n协议，提供至少一个千兆POE网口用于上联接入交换机。</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jc w:val="center"/>
        <w:rPr>
          <w:rFonts w:ascii="宋体" w:hAnsi="宋体"/>
          <w:b/>
          <w:sz w:val="24"/>
        </w:rPr>
      </w:pPr>
      <w:r>
        <w:rPr>
          <w:rFonts w:hint="eastAsia" w:ascii="宋体" w:hAnsi="宋体"/>
          <w:b/>
          <w:sz w:val="24"/>
        </w:rPr>
        <w:t>计算机网络系统设备清单</w:t>
      </w:r>
    </w:p>
    <w:tbl>
      <w:tblPr>
        <w:tblStyle w:val="24"/>
        <w:tblW w:w="9080" w:type="dxa"/>
        <w:tblInd w:w="113" w:type="dxa"/>
        <w:tblLayout w:type="autofit"/>
        <w:tblCellMar>
          <w:top w:w="0" w:type="dxa"/>
          <w:left w:w="108" w:type="dxa"/>
          <w:bottom w:w="0" w:type="dxa"/>
          <w:right w:w="108" w:type="dxa"/>
        </w:tblCellMar>
      </w:tblPr>
      <w:tblGrid>
        <w:gridCol w:w="680"/>
        <w:gridCol w:w="1100"/>
        <w:gridCol w:w="5600"/>
        <w:gridCol w:w="620"/>
        <w:gridCol w:w="1080"/>
      </w:tblGrid>
      <w:tr>
        <w:tblPrEx>
          <w:tblCellMar>
            <w:top w:w="0" w:type="dxa"/>
            <w:left w:w="108" w:type="dxa"/>
            <w:bottom w:w="0" w:type="dxa"/>
            <w:right w:w="108" w:type="dxa"/>
          </w:tblCellMar>
        </w:tblPrEx>
        <w:trPr>
          <w:trHeight w:val="240" w:hRule="atLeast"/>
        </w:trPr>
        <w:tc>
          <w:tcPr>
            <w:tcW w:w="6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1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设备名称</w:t>
            </w:r>
          </w:p>
        </w:tc>
        <w:tc>
          <w:tcPr>
            <w:tcW w:w="5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参数</w:t>
            </w:r>
          </w:p>
        </w:tc>
        <w:tc>
          <w:tcPr>
            <w:tcW w:w="6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w:t>
            </w:r>
          </w:p>
        </w:tc>
      </w:tr>
      <w:tr>
        <w:tblPrEx>
          <w:tblCellMar>
            <w:top w:w="0" w:type="dxa"/>
            <w:left w:w="108" w:type="dxa"/>
            <w:bottom w:w="0" w:type="dxa"/>
            <w:right w:w="108" w:type="dxa"/>
          </w:tblCellMar>
        </w:tblPrEx>
        <w:trPr>
          <w:trHeight w:val="1602" w:hRule="atLeast"/>
        </w:trPr>
        <w:tc>
          <w:tcPr>
            <w:tcW w:w="6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核心交换机</w:t>
            </w:r>
          </w:p>
        </w:tc>
        <w:tc>
          <w:tcPr>
            <w:tcW w:w="5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1.★交换容量≥86Tbps，包转发率≥26000Mpps，提供官网截图及链接证明；</w:t>
            </w:r>
            <w:r>
              <w:rPr>
                <w:rFonts w:hint="eastAsia" w:ascii="宋体" w:hAnsi="宋体" w:cs="宋体"/>
                <w:kern w:val="0"/>
                <w:sz w:val="20"/>
                <w:szCs w:val="20"/>
              </w:rPr>
              <w:br w:type="textWrapping"/>
            </w:r>
            <w:r>
              <w:rPr>
                <w:rFonts w:hint="eastAsia" w:ascii="宋体" w:hAnsi="宋体" w:cs="宋体"/>
                <w:kern w:val="0"/>
                <w:sz w:val="20"/>
                <w:szCs w:val="20"/>
              </w:rPr>
              <w:t>2.★主控槽位≥2，业务槽位数量≥6，独立监控板槽位≥2，电源槽位≥4，高度≤10U，提供官网截图证明；</w:t>
            </w:r>
            <w:r>
              <w:rPr>
                <w:rFonts w:hint="eastAsia" w:ascii="宋体" w:hAnsi="宋体" w:cs="宋体"/>
                <w:kern w:val="0"/>
                <w:sz w:val="20"/>
                <w:szCs w:val="20"/>
              </w:rPr>
              <w:br w:type="textWrapping"/>
            </w:r>
            <w:r>
              <w:rPr>
                <w:rFonts w:hint="eastAsia" w:ascii="宋体" w:hAnsi="宋体" w:cs="宋体"/>
                <w:kern w:val="0"/>
                <w:sz w:val="20"/>
                <w:szCs w:val="20"/>
              </w:rPr>
              <w:t>3.支持静态路由、RIP、RIPng、OSPF、OSPFv3、BGP、BGP4+、ISIS、ISISv6、STP协议，支持路由协议多实例，支持IPv4 FIB表项≥512K；</w:t>
            </w:r>
            <w:r>
              <w:rPr>
                <w:rFonts w:hint="eastAsia" w:ascii="宋体" w:hAnsi="宋体" w:cs="宋体"/>
                <w:kern w:val="0"/>
                <w:sz w:val="20"/>
                <w:szCs w:val="20"/>
              </w:rPr>
              <w:br w:type="textWrapping"/>
            </w:r>
            <w:r>
              <w:rPr>
                <w:rFonts w:hint="eastAsia" w:ascii="宋体" w:hAnsi="宋体" w:cs="宋体"/>
                <w:kern w:val="0"/>
                <w:sz w:val="20"/>
                <w:szCs w:val="20"/>
              </w:rPr>
              <w:t>4.★为保证设备散热效果和可靠性，要求设备支持可热插拔模块化风扇框，独立风扇框数≥2，提供官网截图证明；为适应机柜并排部署，设备机箱（包括业务板卡区）采用后出风风道设计，提供设备散热气流流向截图；</w:t>
            </w:r>
            <w:r>
              <w:rPr>
                <w:rFonts w:hint="eastAsia" w:ascii="宋体" w:hAnsi="宋体" w:cs="宋体"/>
                <w:kern w:val="0"/>
                <w:sz w:val="20"/>
                <w:szCs w:val="20"/>
              </w:rPr>
              <w:br w:type="textWrapping"/>
            </w:r>
            <w:r>
              <w:rPr>
                <w:rFonts w:hint="eastAsia" w:ascii="宋体" w:hAnsi="宋体" w:cs="宋体"/>
                <w:kern w:val="0"/>
                <w:sz w:val="20"/>
                <w:szCs w:val="20"/>
              </w:rPr>
              <w:t>5.★支持独立的硬件监控模块, 控制平面和监控平面槽位物理分离，支持1+1备份，能集中监控板卡、风扇、电源、环境，调节能耗；</w:t>
            </w:r>
            <w:r>
              <w:rPr>
                <w:rFonts w:hint="eastAsia" w:ascii="宋体" w:hAnsi="宋体" w:cs="宋体"/>
                <w:kern w:val="0"/>
                <w:sz w:val="20"/>
                <w:szCs w:val="20"/>
              </w:rPr>
              <w:br w:type="textWrapping"/>
            </w:r>
            <w:r>
              <w:rPr>
                <w:rFonts w:hint="eastAsia" w:ascii="宋体" w:hAnsi="宋体" w:cs="宋体"/>
                <w:kern w:val="0"/>
                <w:sz w:val="20"/>
                <w:szCs w:val="20"/>
              </w:rPr>
              <w:t>6.支持横向虚拟化技术，将多台设备虚拟为一台设备，且用于虚拟化的板卡与业务板卡物理槽位分离；</w:t>
            </w:r>
            <w:r>
              <w:rPr>
                <w:rFonts w:hint="eastAsia" w:ascii="宋体" w:hAnsi="宋体" w:cs="宋体"/>
                <w:kern w:val="0"/>
                <w:sz w:val="20"/>
                <w:szCs w:val="20"/>
              </w:rPr>
              <w:br w:type="textWrapping"/>
            </w:r>
            <w:r>
              <w:rPr>
                <w:rFonts w:hint="eastAsia" w:ascii="宋体" w:hAnsi="宋体" w:cs="宋体"/>
                <w:kern w:val="0"/>
                <w:sz w:val="20"/>
                <w:szCs w:val="20"/>
              </w:rPr>
              <w:t>7.★为了简化管理，支持纵向虚拟化技术，支持把交换机和AP虚拟为一台设备，支持两层子节点，且子节点接入交换机支持堆叠，提供国际权威Tolly检测报告证明；</w:t>
            </w:r>
            <w:r>
              <w:rPr>
                <w:rFonts w:hint="eastAsia" w:ascii="宋体" w:hAnsi="宋体" w:cs="宋体"/>
                <w:kern w:val="0"/>
                <w:sz w:val="20"/>
                <w:szCs w:val="20"/>
              </w:rPr>
              <w:br w:type="textWrapping"/>
            </w:r>
            <w:r>
              <w:rPr>
                <w:rFonts w:hint="eastAsia" w:ascii="宋体" w:hAnsi="宋体" w:cs="宋体"/>
                <w:kern w:val="0"/>
                <w:sz w:val="20"/>
                <w:szCs w:val="20"/>
              </w:rPr>
              <w:t>8.支持业务板集成AC功能，业务单板+AC只占用1个业务槽位，实现对AP的接入控制、AP域管理、有线无线用户的统一认证管理；</w:t>
            </w:r>
            <w:r>
              <w:rPr>
                <w:rFonts w:hint="eastAsia" w:ascii="宋体" w:hAnsi="宋体" w:cs="宋体"/>
                <w:kern w:val="0"/>
                <w:sz w:val="20"/>
                <w:szCs w:val="20"/>
              </w:rPr>
              <w:br w:type="textWrapping"/>
            </w:r>
            <w:r>
              <w:rPr>
                <w:rFonts w:hint="eastAsia" w:ascii="宋体" w:hAnsi="宋体" w:cs="宋体"/>
                <w:kern w:val="0"/>
                <w:sz w:val="20"/>
                <w:szCs w:val="20"/>
              </w:rPr>
              <w:t>9.支持整机MAC地址≥1M，支持整机ARP表项≥256K、支持整机ACL表项≥64K, 提供国际权威Tolly检测报告证明；</w:t>
            </w:r>
            <w:r>
              <w:rPr>
                <w:rFonts w:hint="eastAsia" w:ascii="宋体" w:hAnsi="宋体" w:cs="宋体"/>
                <w:kern w:val="0"/>
                <w:sz w:val="20"/>
                <w:szCs w:val="20"/>
              </w:rPr>
              <w:br w:type="textWrapping"/>
            </w:r>
            <w:r>
              <w:rPr>
                <w:rFonts w:hint="eastAsia" w:ascii="宋体" w:hAnsi="宋体" w:cs="宋体"/>
                <w:kern w:val="0"/>
                <w:sz w:val="20"/>
                <w:szCs w:val="20"/>
              </w:rPr>
              <w:t>10.支持802.1X、MAC、Portal等认证方式，支持基于流量、DAA目的地址和时长计费方式；</w:t>
            </w:r>
            <w:r>
              <w:rPr>
                <w:rFonts w:hint="eastAsia" w:ascii="宋体" w:hAnsi="宋体" w:cs="宋体"/>
                <w:kern w:val="0"/>
                <w:sz w:val="20"/>
                <w:szCs w:val="20"/>
              </w:rPr>
              <w:br w:type="textWrapping"/>
            </w:r>
            <w:r>
              <w:rPr>
                <w:rFonts w:hint="eastAsia" w:ascii="宋体" w:hAnsi="宋体" w:cs="宋体"/>
                <w:kern w:val="0"/>
                <w:sz w:val="20"/>
                <w:szCs w:val="20"/>
              </w:rPr>
              <w:t>11.★支持GE/10GE端口200ms大缓存，支持5级H-QoS,提供国际权威Tolly检测报告证明；</w:t>
            </w:r>
            <w:r>
              <w:rPr>
                <w:rFonts w:hint="eastAsia" w:ascii="宋体" w:hAnsi="宋体" w:cs="宋体"/>
                <w:kern w:val="0"/>
                <w:sz w:val="20"/>
                <w:szCs w:val="20"/>
              </w:rPr>
              <w:br w:type="textWrapping"/>
            </w:r>
            <w:r>
              <w:rPr>
                <w:rFonts w:hint="eastAsia" w:ascii="宋体" w:hAnsi="宋体" w:cs="宋体"/>
                <w:kern w:val="0"/>
                <w:sz w:val="20"/>
                <w:szCs w:val="20"/>
              </w:rPr>
              <w:t>12.★支持真实业务流的实时检测技术，秒级快速故障定位，提供国际权威Tolly检测报告证明；</w:t>
            </w:r>
            <w:r>
              <w:rPr>
                <w:rFonts w:hint="eastAsia" w:ascii="宋体" w:hAnsi="宋体" w:cs="宋体"/>
                <w:kern w:val="0"/>
                <w:sz w:val="20"/>
                <w:szCs w:val="20"/>
              </w:rPr>
              <w:br w:type="textWrapping"/>
            </w:r>
            <w:r>
              <w:rPr>
                <w:rFonts w:hint="eastAsia" w:ascii="宋体" w:hAnsi="宋体" w:cs="宋体"/>
                <w:kern w:val="0"/>
                <w:sz w:val="20"/>
                <w:szCs w:val="20"/>
              </w:rPr>
              <w:t>13.★支持硬件BFD/OAM，3.3ms稳定均匀发包检测，提高设备的可靠性，提供国际权威Tolly检测报告证明；</w:t>
            </w:r>
            <w:r>
              <w:rPr>
                <w:rFonts w:hint="eastAsia" w:ascii="宋体" w:hAnsi="宋体" w:cs="宋体"/>
                <w:kern w:val="0"/>
                <w:sz w:val="20"/>
                <w:szCs w:val="20"/>
              </w:rPr>
              <w:br w:type="textWrapping"/>
            </w:r>
            <w:r>
              <w:rPr>
                <w:rFonts w:hint="eastAsia" w:ascii="宋体" w:hAnsi="宋体" w:cs="宋体"/>
                <w:kern w:val="0"/>
                <w:sz w:val="20"/>
                <w:szCs w:val="20"/>
              </w:rPr>
              <w:t>14.为了提高网络的时钟精确性，需支持1588v2时钟功能，提供国际权威Tolly检测报告证明；</w:t>
            </w:r>
            <w:r>
              <w:rPr>
                <w:rFonts w:hint="eastAsia" w:ascii="宋体" w:hAnsi="宋体" w:cs="宋体"/>
                <w:kern w:val="0"/>
                <w:sz w:val="20"/>
                <w:szCs w:val="20"/>
              </w:rPr>
              <w:br w:type="textWrapping"/>
            </w:r>
            <w:r>
              <w:rPr>
                <w:rFonts w:hint="eastAsia" w:ascii="宋体" w:hAnsi="宋体" w:cs="宋体"/>
                <w:kern w:val="0"/>
                <w:sz w:val="20"/>
                <w:szCs w:val="20"/>
              </w:rPr>
              <w:t>15.通过TUV国际绿色产品认证，在环保、回收、节能、碳足迹等方面严格符合国际标准，并提供TUV绿色认证证书；</w:t>
            </w:r>
            <w:r>
              <w:rPr>
                <w:rFonts w:hint="eastAsia" w:ascii="宋体" w:hAnsi="宋体" w:cs="宋体"/>
                <w:kern w:val="0"/>
                <w:sz w:val="20"/>
                <w:szCs w:val="20"/>
              </w:rPr>
              <w:br w:type="textWrapping"/>
            </w:r>
            <w:r>
              <w:rPr>
                <w:rFonts w:hint="eastAsia" w:ascii="宋体" w:hAnsi="宋体" w:cs="宋体"/>
                <w:kern w:val="0"/>
                <w:sz w:val="20"/>
                <w:szCs w:val="20"/>
              </w:rPr>
              <w:t>16.通过CC认证，认证等级为EAL3，提供认证证书；</w:t>
            </w:r>
            <w:r>
              <w:rPr>
                <w:rFonts w:hint="eastAsia" w:ascii="宋体" w:hAnsi="宋体" w:cs="宋体"/>
                <w:kern w:val="0"/>
                <w:sz w:val="20"/>
                <w:szCs w:val="20"/>
              </w:rPr>
              <w:br w:type="textWrapping"/>
            </w:r>
            <w:r>
              <w:rPr>
                <w:rFonts w:hint="eastAsia" w:ascii="宋体" w:hAnsi="宋体" w:cs="宋体"/>
                <w:kern w:val="0"/>
                <w:sz w:val="20"/>
                <w:szCs w:val="20"/>
              </w:rPr>
              <w:t>★硬件配置要求：</w:t>
            </w:r>
            <w:r>
              <w:rPr>
                <w:rFonts w:hint="eastAsia" w:ascii="宋体" w:hAnsi="宋体" w:cs="宋体"/>
                <w:kern w:val="0"/>
                <w:sz w:val="20"/>
                <w:szCs w:val="20"/>
              </w:rPr>
              <w:br w:type="textWrapping"/>
            </w:r>
            <w:r>
              <w:rPr>
                <w:rFonts w:hint="eastAsia" w:ascii="宋体" w:hAnsi="宋体" w:cs="宋体"/>
                <w:kern w:val="0"/>
                <w:sz w:val="20"/>
                <w:szCs w:val="20"/>
              </w:rPr>
              <w:t>1. 每台配置主控引擎≥2个、电源≥2个、集中监控板≥1，千兆光口≥24个、千兆电口≥24个；所有网络接口为业务板接口，非主控引擎板接口；</w:t>
            </w:r>
            <w:r>
              <w:rPr>
                <w:rFonts w:hint="eastAsia" w:ascii="宋体" w:hAnsi="宋体" w:cs="宋体"/>
                <w:kern w:val="0"/>
                <w:sz w:val="20"/>
                <w:szCs w:val="20"/>
              </w:rPr>
              <w:br w:type="textWrapping"/>
            </w:r>
            <w:r>
              <w:rPr>
                <w:rFonts w:hint="eastAsia" w:ascii="宋体" w:hAnsi="宋体" w:cs="宋体"/>
                <w:kern w:val="0"/>
                <w:sz w:val="20"/>
                <w:szCs w:val="20"/>
              </w:rPr>
              <w:t>★厂商资质：</w:t>
            </w:r>
            <w:r>
              <w:rPr>
                <w:rFonts w:hint="eastAsia" w:ascii="宋体" w:hAnsi="宋体" w:cs="宋体"/>
                <w:kern w:val="0"/>
                <w:sz w:val="20"/>
                <w:szCs w:val="20"/>
              </w:rPr>
              <w:br w:type="textWrapping"/>
            </w:r>
            <w:r>
              <w:rPr>
                <w:rFonts w:hint="eastAsia" w:ascii="宋体" w:hAnsi="宋体" w:cs="宋体"/>
                <w:kern w:val="0"/>
                <w:sz w:val="20"/>
                <w:szCs w:val="20"/>
              </w:rPr>
              <w:t>1.提供TL9000、信息系统安全集成一级服务资质，提供相关证书复印件或证明文件；</w:t>
            </w:r>
            <w:r>
              <w:rPr>
                <w:rFonts w:hint="eastAsia" w:ascii="宋体" w:hAnsi="宋体" w:cs="宋体"/>
                <w:kern w:val="0"/>
                <w:sz w:val="20"/>
                <w:szCs w:val="20"/>
              </w:rPr>
              <w:br w:type="textWrapping"/>
            </w:r>
            <w:r>
              <w:rPr>
                <w:rFonts w:hint="eastAsia" w:ascii="宋体" w:hAnsi="宋体" w:cs="宋体"/>
                <w:kern w:val="0"/>
                <w:sz w:val="20"/>
                <w:szCs w:val="20"/>
              </w:rPr>
              <w:t>2.所投设备厂家是有线无线局域网接入基础设施Gartner四象限远见者或领导者象限成员，提供证明材料。</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1276" w:hRule="atLeast"/>
        </w:trPr>
        <w:tc>
          <w:tcPr>
            <w:tcW w:w="6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24口POE接入交换机</w:t>
            </w:r>
          </w:p>
        </w:tc>
        <w:tc>
          <w:tcPr>
            <w:tcW w:w="560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1.设备性能: 交换容量≥336Gbps，转发性能≥51Mpps（以官网最小值为标准），整机POE供电功率不少于370W；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2.★设备固化千兆电口≥24个，千兆光口≥4个其中4个光口可以转换成千兆电接口且不少于4个；提供官网截图证明加盖原厂项目授权章；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3.★支持IPv4/IPv6静态路由，支持RIP/RIPng，OSPFV1/V2/V3，具有STP协议，提供该功能官网截图及链接并加原厂项目授权章；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4.★要求该设备具有流量控制和安全审计功能；提供权威检测报告证明加盖原厂项目授权章；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5.★支持终端准入控制功能，配合后台系统可以将终端防病毒、补丁修复等终端安全措施与网络接入控制、访问权限控制等网络安全措施整合为一个联动的安全体系提供逛网截图链接加盖原厂原厂项目授权章；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6.支持虚拟化技术，将多台物理设备互相连接起来，使其虚拟为一台逻辑设备，也就是说，用户可以将这多台设备看成一台单一设备进行管理和使用，实现设备级的1：N备份；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7.支持基于端口的镜像，支持重定向，支持端口隔离，支持端口限速，支持丰富以太网IPv6功能。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8.★厂商通过知识产权管理体系、软件成熟度CMMI5证书、QC080000有害物质过程管理体系认证，提供证书复印件并加盖原厂项目授权章；</w:t>
            </w:r>
          </w:p>
        </w:tc>
        <w:tc>
          <w:tcPr>
            <w:tcW w:w="6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r>
      <w:tr>
        <w:tblPrEx>
          <w:tblCellMar>
            <w:top w:w="0" w:type="dxa"/>
            <w:left w:w="108" w:type="dxa"/>
            <w:bottom w:w="0" w:type="dxa"/>
            <w:right w:w="108" w:type="dxa"/>
          </w:tblCellMar>
        </w:tblPrEx>
        <w:trPr>
          <w:trHeight w:val="3109" w:hRule="atLeast"/>
        </w:trPr>
        <w:tc>
          <w:tcPr>
            <w:tcW w:w="6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智慧防火墙</w:t>
            </w:r>
          </w:p>
        </w:tc>
        <w:tc>
          <w:tcPr>
            <w:tcW w:w="56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1</w:t>
            </w:r>
            <w:r>
              <w:rPr>
                <w:rFonts w:hint="eastAsia" w:ascii="宋体" w:hAnsi="宋体" w:cs="Arial"/>
                <w:kern w:val="0"/>
                <w:sz w:val="20"/>
                <w:szCs w:val="20"/>
              </w:rPr>
              <w:t>、</w:t>
            </w:r>
            <w:r>
              <w:rPr>
                <w:rFonts w:ascii="Arial" w:hAnsi="Arial" w:cs="Arial"/>
                <w:kern w:val="0"/>
                <w:sz w:val="20"/>
                <w:szCs w:val="20"/>
              </w:rPr>
              <w:t xml:space="preserve"> </w:t>
            </w:r>
            <w:r>
              <w:rPr>
                <w:rFonts w:hint="eastAsia" w:ascii="宋体" w:hAnsi="宋体" w:cs="Arial"/>
                <w:kern w:val="0"/>
                <w:sz w:val="20"/>
                <w:szCs w:val="20"/>
              </w:rPr>
              <w:t>标准</w:t>
            </w:r>
            <w:r>
              <w:rPr>
                <w:rFonts w:ascii="Arial" w:hAnsi="Arial" w:cs="Arial"/>
                <w:kern w:val="0"/>
                <w:sz w:val="20"/>
                <w:szCs w:val="20"/>
              </w:rPr>
              <w:t>1U</w:t>
            </w:r>
            <w:r>
              <w:rPr>
                <w:rFonts w:hint="eastAsia" w:ascii="宋体" w:hAnsi="宋体" w:cs="Arial"/>
                <w:kern w:val="0"/>
                <w:sz w:val="20"/>
                <w:szCs w:val="20"/>
              </w:rPr>
              <w:t>机箱，多核AMP+架构，网络层吞吐量4G，并发连接≥180万，每秒新建连接数6万，标准配置6个10/100/1000M自适应电口，另有1个接口板卡扩展插槽。</w:t>
            </w:r>
            <w:r>
              <w:rPr>
                <w:rFonts w:ascii="Arial" w:hAnsi="Arial" w:cs="Arial"/>
                <w:kern w:val="0"/>
                <w:sz w:val="20"/>
                <w:szCs w:val="20"/>
              </w:rPr>
              <w:t xml:space="preserve"> </w:t>
            </w:r>
            <w:r>
              <w:rPr>
                <w:rFonts w:ascii="Arial" w:hAnsi="Arial" w:cs="Arial"/>
                <w:kern w:val="0"/>
                <w:sz w:val="20"/>
                <w:szCs w:val="20"/>
              </w:rPr>
              <w:br w:type="textWrapping"/>
            </w:r>
            <w:r>
              <w:rPr>
                <w:rFonts w:ascii="Arial" w:hAnsi="Arial" w:cs="Arial"/>
                <w:kern w:val="0"/>
                <w:sz w:val="20"/>
                <w:szCs w:val="20"/>
              </w:rPr>
              <w:t>2</w:t>
            </w:r>
            <w:r>
              <w:rPr>
                <w:rFonts w:hint="eastAsia" w:ascii="宋体" w:hAnsi="宋体" w:cs="Arial"/>
                <w:kern w:val="0"/>
                <w:sz w:val="20"/>
                <w:szCs w:val="20"/>
              </w:rPr>
              <w:t>、</w:t>
            </w:r>
            <w:r>
              <w:rPr>
                <w:rFonts w:ascii="Arial" w:hAnsi="Arial" w:cs="Arial"/>
                <w:kern w:val="0"/>
                <w:sz w:val="20"/>
                <w:szCs w:val="20"/>
              </w:rPr>
              <w:t xml:space="preserve"> </w:t>
            </w:r>
            <w:r>
              <w:rPr>
                <w:rFonts w:hint="eastAsia" w:ascii="宋体" w:hAnsi="宋体" w:cs="Arial"/>
                <w:kern w:val="0"/>
                <w:sz w:val="20"/>
                <w:szCs w:val="20"/>
              </w:rPr>
              <w:t>支持路由、透明等接入模式，支持网络地址转换；</w:t>
            </w:r>
            <w:r>
              <w:rPr>
                <w:rFonts w:ascii="Arial" w:hAnsi="Arial" w:cs="Arial"/>
                <w:kern w:val="0"/>
                <w:sz w:val="20"/>
                <w:szCs w:val="20"/>
              </w:rPr>
              <w:t xml:space="preserve"> </w:t>
            </w:r>
            <w:r>
              <w:rPr>
                <w:rFonts w:hint="eastAsia" w:ascii="宋体" w:hAnsi="宋体" w:cs="Arial"/>
                <w:kern w:val="0"/>
                <w:sz w:val="20"/>
                <w:szCs w:val="20"/>
              </w:rPr>
              <w:t>防</w:t>
            </w:r>
            <w:r>
              <w:rPr>
                <w:rFonts w:ascii="Arial" w:hAnsi="Arial" w:cs="Arial"/>
                <w:kern w:val="0"/>
                <w:sz w:val="20"/>
                <w:szCs w:val="20"/>
              </w:rPr>
              <w:t xml:space="preserve"> ARP </w:t>
            </w:r>
            <w:r>
              <w:rPr>
                <w:rFonts w:hint="eastAsia" w:ascii="宋体" w:hAnsi="宋体" w:cs="Arial"/>
                <w:kern w:val="0"/>
                <w:sz w:val="20"/>
                <w:szCs w:val="20"/>
              </w:rPr>
              <w:t>欺骗与攻击；支持静态</w:t>
            </w:r>
            <w:r>
              <w:rPr>
                <w:rFonts w:ascii="Arial" w:hAnsi="Arial" w:cs="Arial"/>
                <w:kern w:val="0"/>
                <w:sz w:val="20"/>
                <w:szCs w:val="20"/>
              </w:rPr>
              <w:t xml:space="preserve"> IP</w:t>
            </w:r>
            <w:r>
              <w:rPr>
                <w:rFonts w:hint="eastAsia" w:ascii="宋体" w:hAnsi="宋体" w:cs="Arial"/>
                <w:kern w:val="0"/>
                <w:sz w:val="20"/>
                <w:szCs w:val="20"/>
              </w:rPr>
              <w:t>，</w:t>
            </w:r>
            <w:r>
              <w:rPr>
                <w:rFonts w:ascii="Arial" w:hAnsi="Arial" w:cs="Arial"/>
                <w:kern w:val="0"/>
                <w:sz w:val="20"/>
                <w:szCs w:val="20"/>
              </w:rPr>
              <w:t xml:space="preserve">3G </w:t>
            </w:r>
            <w:r>
              <w:rPr>
                <w:rFonts w:hint="eastAsia" w:ascii="宋体" w:hAnsi="宋体" w:cs="Arial"/>
                <w:kern w:val="0"/>
                <w:sz w:val="20"/>
                <w:szCs w:val="20"/>
              </w:rPr>
              <w:t>等多线路失效备份；支持双系统备份，且在系统切换中可实现配置的自动迁移；</w:t>
            </w:r>
            <w:r>
              <w:rPr>
                <w:rFonts w:ascii="Arial" w:hAnsi="Arial" w:cs="Arial"/>
                <w:kern w:val="0"/>
                <w:sz w:val="20"/>
                <w:szCs w:val="20"/>
              </w:rPr>
              <w:t xml:space="preserve"> </w:t>
            </w:r>
            <w:r>
              <w:rPr>
                <w:rFonts w:ascii="Arial" w:hAnsi="Arial" w:cs="Arial"/>
                <w:kern w:val="0"/>
                <w:sz w:val="20"/>
                <w:szCs w:val="20"/>
              </w:rPr>
              <w:br w:type="textWrapping"/>
            </w:r>
            <w:r>
              <w:rPr>
                <w:rFonts w:ascii="Arial" w:hAnsi="Arial" w:cs="Arial"/>
                <w:kern w:val="0"/>
                <w:sz w:val="20"/>
                <w:szCs w:val="20"/>
              </w:rPr>
              <w:t>3</w:t>
            </w:r>
            <w:r>
              <w:rPr>
                <w:rFonts w:hint="eastAsia" w:ascii="宋体" w:hAnsi="宋体" w:cs="Arial"/>
                <w:kern w:val="0"/>
                <w:sz w:val="20"/>
                <w:szCs w:val="20"/>
              </w:rPr>
              <w:t>、</w:t>
            </w:r>
            <w:r>
              <w:rPr>
                <w:rFonts w:ascii="Arial" w:hAnsi="Arial" w:cs="Arial"/>
                <w:kern w:val="0"/>
                <w:sz w:val="20"/>
                <w:szCs w:val="20"/>
              </w:rPr>
              <w:t xml:space="preserve"> </w:t>
            </w:r>
            <w:r>
              <w:rPr>
                <w:rFonts w:hint="eastAsia" w:ascii="宋体" w:hAnsi="宋体" w:cs="Arial"/>
                <w:kern w:val="0"/>
                <w:sz w:val="20"/>
                <w:szCs w:val="20"/>
              </w:rPr>
              <w:t>能够通过</w:t>
            </w:r>
            <w:r>
              <w:rPr>
                <w:rFonts w:ascii="Arial" w:hAnsi="Arial" w:cs="Arial"/>
                <w:kern w:val="0"/>
                <w:sz w:val="20"/>
                <w:szCs w:val="20"/>
              </w:rPr>
              <w:t xml:space="preserve"> Web UI </w:t>
            </w:r>
            <w:r>
              <w:rPr>
                <w:rFonts w:hint="eastAsia" w:ascii="宋体" w:hAnsi="宋体" w:cs="Arial"/>
                <w:kern w:val="0"/>
                <w:sz w:val="20"/>
                <w:szCs w:val="20"/>
              </w:rPr>
              <w:t>监控产品的硬件运行状态，包含</w:t>
            </w:r>
            <w:r>
              <w:rPr>
                <w:rFonts w:ascii="Arial" w:hAnsi="Arial" w:cs="Arial"/>
                <w:kern w:val="0"/>
                <w:sz w:val="20"/>
                <w:szCs w:val="20"/>
              </w:rPr>
              <w:t xml:space="preserve"> CPU </w:t>
            </w:r>
            <w:r>
              <w:rPr>
                <w:rFonts w:hint="eastAsia" w:ascii="宋体" w:hAnsi="宋体" w:cs="Arial"/>
                <w:kern w:val="0"/>
                <w:sz w:val="20"/>
                <w:szCs w:val="20"/>
              </w:rPr>
              <w:t>及内存的使用率、</w:t>
            </w:r>
            <w:r>
              <w:rPr>
                <w:rFonts w:ascii="Arial" w:hAnsi="Arial" w:cs="Arial"/>
                <w:kern w:val="0"/>
                <w:sz w:val="20"/>
                <w:szCs w:val="20"/>
              </w:rPr>
              <w:t>CPU</w:t>
            </w:r>
            <w:r>
              <w:rPr>
                <w:rFonts w:hint="eastAsia" w:ascii="宋体" w:hAnsi="宋体" w:cs="Arial"/>
                <w:kern w:val="0"/>
                <w:sz w:val="20"/>
                <w:szCs w:val="20"/>
              </w:rPr>
              <w:t>温度指数及风扇的转数指标；</w:t>
            </w:r>
            <w:r>
              <w:rPr>
                <w:rFonts w:ascii="Arial" w:hAnsi="Arial" w:cs="Arial"/>
                <w:kern w:val="0"/>
                <w:sz w:val="20"/>
                <w:szCs w:val="20"/>
              </w:rPr>
              <w:t xml:space="preserve">                                                                                       </w:t>
            </w:r>
            <w:r>
              <w:rPr>
                <w:rFonts w:ascii="Arial" w:hAnsi="Arial" w:cs="Arial"/>
                <w:kern w:val="0"/>
                <w:sz w:val="20"/>
                <w:szCs w:val="20"/>
              </w:rPr>
              <w:br w:type="textWrapping"/>
            </w:r>
            <w:r>
              <w:rPr>
                <w:rFonts w:ascii="Arial" w:hAnsi="Arial" w:cs="Arial"/>
                <w:kern w:val="0"/>
                <w:sz w:val="20"/>
                <w:szCs w:val="20"/>
              </w:rPr>
              <w:t>4</w:t>
            </w:r>
            <w:r>
              <w:rPr>
                <w:rFonts w:hint="eastAsia" w:ascii="宋体" w:hAnsi="宋体" w:cs="Arial"/>
                <w:kern w:val="0"/>
                <w:sz w:val="20"/>
                <w:szCs w:val="20"/>
              </w:rPr>
              <w:t>、</w:t>
            </w:r>
            <w:r>
              <w:rPr>
                <w:rFonts w:ascii="Arial" w:hAnsi="Arial" w:cs="Arial"/>
                <w:kern w:val="0"/>
                <w:sz w:val="20"/>
                <w:szCs w:val="20"/>
              </w:rPr>
              <w:t xml:space="preserve"> </w:t>
            </w:r>
            <w:r>
              <w:rPr>
                <w:rFonts w:hint="eastAsia" w:ascii="宋体" w:hAnsi="宋体" w:cs="Arial"/>
                <w:kern w:val="0"/>
                <w:sz w:val="20"/>
                <w:szCs w:val="20"/>
              </w:rPr>
              <w:t>★网络异常感知：统计网络中确认失陷的主机及失陷的主机数量及风险等级状态，并支持查看失陷时间、威胁类别、情报来源、威胁简介、失陷主机</w:t>
            </w:r>
            <w:r>
              <w:rPr>
                <w:rFonts w:ascii="Arial" w:hAnsi="Arial" w:cs="Arial"/>
                <w:kern w:val="0"/>
                <w:sz w:val="20"/>
                <w:szCs w:val="20"/>
              </w:rPr>
              <w:t xml:space="preserve"> IP</w:t>
            </w:r>
            <w:r>
              <w:rPr>
                <w:rFonts w:hint="eastAsia" w:ascii="宋体" w:hAnsi="宋体" w:cs="Arial"/>
                <w:kern w:val="0"/>
                <w:sz w:val="20"/>
                <w:szCs w:val="20"/>
              </w:rPr>
              <w:t>、用户名、资产等信息，并可以一键跳转处置。统计网络内威胁事件的数量及风险等级状态，并可以一键跳转查看威胁详情和处置详情。（提供功能截图证明）</w:t>
            </w:r>
            <w:r>
              <w:rPr>
                <w:rFonts w:ascii="Arial" w:hAnsi="Arial" w:cs="Arial"/>
                <w:kern w:val="0"/>
                <w:sz w:val="20"/>
                <w:szCs w:val="20"/>
              </w:rPr>
              <w:t xml:space="preserve">                                                                                                                              </w:t>
            </w:r>
            <w:r>
              <w:rPr>
                <w:rFonts w:hint="eastAsia" w:ascii="宋体" w:hAnsi="宋体" w:cs="Arial"/>
                <w:kern w:val="0"/>
                <w:sz w:val="20"/>
                <w:szCs w:val="20"/>
              </w:rPr>
              <w:t xml:space="preserve">5、 支持SSL代理功能，实现对HTTPS加密流量进行解密处理并实现对解密后的数据进行深度防护及管控；  </w:t>
            </w:r>
            <w:r>
              <w:rPr>
                <w:rFonts w:hint="eastAsia" w:ascii="宋体" w:hAnsi="宋体" w:cs="Arial"/>
                <w:kern w:val="0"/>
                <w:sz w:val="20"/>
                <w:szCs w:val="20"/>
              </w:rPr>
              <w:br w:type="textWrapping"/>
            </w:r>
            <w:r>
              <w:rPr>
                <w:rFonts w:hint="eastAsia" w:ascii="宋体" w:hAnsi="宋体" w:cs="Arial"/>
                <w:kern w:val="0"/>
                <w:sz w:val="20"/>
                <w:szCs w:val="20"/>
              </w:rPr>
              <w:t xml:space="preserve">6、 具有防弱口令扫描功能：支持针对FTP、SMTP、POP3、IMAP协议防弱口令扫描功能，可以帮助用户记录或者拦截网络中猜测 FTP 用户名密码，邮件用户名密码的行为。并支持生成动态策略，下发给防火墙，再次受到相同攻击时，用户可以选择禁止还是允许口令猜测的行为； </w:t>
            </w:r>
            <w:r>
              <w:rPr>
                <w:rFonts w:hint="eastAsia" w:ascii="宋体" w:hAnsi="宋体" w:cs="Arial"/>
                <w:kern w:val="0"/>
                <w:sz w:val="20"/>
                <w:szCs w:val="20"/>
              </w:rPr>
              <w:br w:type="textWrapping"/>
            </w:r>
            <w:r>
              <w:rPr>
                <w:rFonts w:hint="eastAsia" w:ascii="宋体" w:hAnsi="宋体" w:cs="Arial"/>
                <w:kern w:val="0"/>
                <w:sz w:val="20"/>
                <w:szCs w:val="20"/>
              </w:rPr>
              <w:t xml:space="preserve">7、 具备病毒防御功能要求：反病毒查杀支持实时和批处理扫描模式；支持公有云、私有云杀毒功能，提供《私有云病毒查杀引擎软件著作权》。 </w:t>
            </w:r>
            <w:r>
              <w:rPr>
                <w:rFonts w:hint="eastAsia" w:ascii="宋体" w:hAnsi="宋体" w:cs="Arial"/>
                <w:kern w:val="0"/>
                <w:sz w:val="20"/>
                <w:szCs w:val="20"/>
              </w:rPr>
              <w:br w:type="textWrapping"/>
            </w:r>
            <w:r>
              <w:rPr>
                <w:rFonts w:hint="eastAsia" w:ascii="宋体" w:hAnsi="宋体" w:cs="Arial"/>
                <w:kern w:val="0"/>
                <w:sz w:val="20"/>
                <w:szCs w:val="20"/>
              </w:rPr>
              <w:t xml:space="preserve">8、 支持 IPv6 安全：要求支持基于 IP 地址、端口、时间的 IPv6 安全策略，策略动作支持允许、禁止、日志记录、带宽限制、连接限制；要求支持 IPv6 内容过滤，包括：http 过滤、FTP 过滤、DNS 过滤、邮件过滤； </w:t>
            </w:r>
            <w:r>
              <w:rPr>
                <w:rFonts w:hint="eastAsia" w:ascii="宋体" w:hAnsi="宋体" w:cs="Arial"/>
                <w:kern w:val="0"/>
                <w:sz w:val="20"/>
                <w:szCs w:val="20"/>
              </w:rPr>
              <w:br w:type="textWrapping"/>
            </w:r>
            <w:r>
              <w:rPr>
                <w:rFonts w:hint="eastAsia" w:ascii="宋体" w:hAnsi="宋体" w:cs="Arial"/>
                <w:kern w:val="0"/>
                <w:sz w:val="20"/>
                <w:szCs w:val="20"/>
              </w:rPr>
              <w:t xml:space="preserve">9、 ★支持云端协同：URL 云服务，支持与云端联动，实现病毒云查杀、URL 云识别、应用云识别、云沙箱、情报云检测等功能。（提供功能截图证明） </w:t>
            </w:r>
            <w:r>
              <w:rPr>
                <w:rFonts w:hint="eastAsia" w:ascii="宋体" w:hAnsi="宋体" w:cs="Arial"/>
                <w:kern w:val="0"/>
                <w:sz w:val="20"/>
                <w:szCs w:val="20"/>
              </w:rPr>
              <w:br w:type="textWrapping"/>
            </w:r>
            <w:r>
              <w:rPr>
                <w:rFonts w:hint="eastAsia" w:ascii="宋体" w:hAnsi="宋体" w:cs="Arial"/>
                <w:kern w:val="0"/>
                <w:sz w:val="20"/>
                <w:szCs w:val="20"/>
              </w:rPr>
              <w:t xml:space="preserve">10、 支持应用程序控制：内置专业的应用程序特征库，特征库数量大于 200 个,支持离线和在线方式进行更新；支持对 MSN、QQ、Fetion 的阻断控制，支持对 MSN 进行会话记录；可限制  BT、eDonkey、Wsl、BitTorrent、讯雷等多种 P2P 应用阻断控制；支持对梦幻西游、联众、网易泡泡、浩方游戏平台等游戏的阻断控制；支持对大智慧、同花顺、钱龙、证券之星、通达信等炒股软件的阻断控制。 </w:t>
            </w:r>
            <w:r>
              <w:rPr>
                <w:rFonts w:hint="eastAsia" w:ascii="宋体" w:hAnsi="宋体" w:cs="Arial"/>
                <w:kern w:val="0"/>
                <w:sz w:val="20"/>
                <w:szCs w:val="20"/>
              </w:rPr>
              <w:br w:type="textWrapping"/>
            </w:r>
            <w:r>
              <w:rPr>
                <w:rFonts w:hint="eastAsia" w:ascii="宋体" w:hAnsi="宋体" w:cs="Arial"/>
                <w:kern w:val="0"/>
                <w:sz w:val="20"/>
                <w:szCs w:val="20"/>
              </w:rPr>
              <w:t xml:space="preserve">11、产品具有《国家信息安全信息技术产品测评EAL4+证书》；《高性能IPv6防火墙系统计算机软件著作权登记证书》五年原厂质保，含病毒库五年免费升级，要求标有“★”参数必须满足。为了保证投标人所投产品能满足招标要求，中标后，招标人有权要求投标人，先提供所投产品进行测试，测试通过后签署合同；如测试不通过，视为虚假投标，剥夺投标人中标资格，所产生的一切后果将有投标人自行承担。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 </w:t>
            </w:r>
          </w:p>
        </w:tc>
      </w:tr>
      <w:tr>
        <w:tblPrEx>
          <w:tblCellMar>
            <w:top w:w="0" w:type="dxa"/>
            <w:left w:w="108" w:type="dxa"/>
            <w:bottom w:w="0" w:type="dxa"/>
            <w:right w:w="108" w:type="dxa"/>
          </w:tblCellMar>
        </w:tblPrEx>
        <w:trPr>
          <w:trHeight w:val="6713" w:hRule="atLeast"/>
        </w:trPr>
        <w:tc>
          <w:tcPr>
            <w:tcW w:w="6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上网行为管理</w:t>
            </w:r>
          </w:p>
        </w:tc>
        <w:tc>
          <w:tcPr>
            <w:tcW w:w="5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一、性能参数：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 适合带宽≥100M，并发会话数≥4万；至少具4个千兆电口，单电源，标准1U设备，支持外置数据中心。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二、功能参数：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 支持网关、网桥、旁路模式部署；网关模式，支持NAT、路由转发、DHCP、GRE、OSPF等功能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★必须支持两台及两台以上设备同时做主机的部署模式；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 ★支持部署在IPv6环境中，设备接口及部署模式均支持ipv6配置；所有核心功能（上网认证、应用控制、流量控制、内容审计、日志报表等）都支持IPv6；（提供产品界面截图）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4、支持细致的管理员权限划分，包括对不同用户组的管理权限、对各种主要功能界面的配置和查看权限；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5. 支持首页分析显示接入用户人数、终端类型、认证方式；带宽质量分析、实时流量排名；泄密风险、违规访问、共享上网等行为风险情况；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 ★支持预置几组关键字，当审计日志中出现这些关键字时，将定期以邮件的方式发送报告给指定邮箱（提供产品界面截图）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 基于时间、用户/组、终端类型、位置、日志类型等条件下的关键字检索定位功能；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 针对单用户的行为分析（包括：应用流速趋势、应用流量排行、域名流量排行、应用时长排行、域名时长排行、行为汇总排行等）（提供产品界面截图）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 ★支持基于时间段/用户/用户组/终端类型/位置等多种维度的流速趋势报表、流控通道趋势报表、应用行为趋势报表、网站分类行为趋势报表等（提供产品界面截图）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 支持灵活配置流控单位是IP还是用户名（适用于公共账号：多个IP公用一个账号时，可以对每个IP进行限速，更加灵活准确）（提供产品界面截图）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 ★基于“流量”、“流速”、“时长”设置配额，当配额耗尽后，将用户加入到指定的流控黑名单惩罚通道中（提供产品界面截图）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 支持通过抑制P2P的上行流量，来减缓P2P的下行流量，从而解决网络出口在做流控后仍然压力较大的问题；（提供产品界面截图）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 ★设备内置应用识别规则库，支持超过9000条应用规则数，支持超过2800种以上的应用，1000种以上移动应用，并保持每两个星期更新一次，保证应用识别的准确率；（提供产品配置界面截图证明）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 支持根据标签选择应用，标签分类至少包含安全风险、高带宽消耗、发送电子邮件、降低工作效率、外发文件泄密风险、主流论坛和微博发帖6大类；</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 自动发现网络中无线上网热点和移动终端的IP及类型，可阻止信任列表以外的非法热点及终端，向管理员告警且记录日志（提供产品界面截图证明）。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 指定账户支持有效期限制，并支持自动过期，支持自动删除长期不登录账号信息；（提供产品界面截图）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 支持以下类型的移动APP内容审计：论坛类，如：天涯社区、猫扑社区、百度贴吧、新浪论坛、搜狐社区等；微博类，如：新浪微博，腾讯微博等；新闻评论类，如：腾讯新闻、网易新闻、搜狐新闻、新浪新闻等；支持对阿里旺旺、万德（Wind）、路透等应用的聊天，群聊天等内容的审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18. ★必须能识别执行脚本的网页，并过滤脚本中隐藏木马等程序的网页；（必须提供自主知识产权证明）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 支持如下用户上网认证方式：用户名/密码认证、短信认证、微信认证（用户关注微信公众号后即通过身份认证，后台记录用户ID（提供界面证明））及二维码认证（管理员扫描访客的二维码后对其网络访问授权（提供界面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20.投标人所投上网行为管理设备与总部现有的集中管理平台实现无缝对接，实现集团总部对招标人分公司进行集中管控和日志管理功能；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21.售后服务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投标人须提供原厂商的项目授权及5年7*24小时原厂售后服务承诺，提供5年免费软、硬件质保，免费5年上门服务以及特征库的升级。</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CellMar>
            <w:top w:w="0" w:type="dxa"/>
            <w:left w:w="108" w:type="dxa"/>
            <w:bottom w:w="0" w:type="dxa"/>
            <w:right w:w="108" w:type="dxa"/>
          </w:tblCellMar>
        </w:tblPrEx>
        <w:trPr>
          <w:trHeight w:val="240" w:hRule="atLeast"/>
        </w:trPr>
        <w:tc>
          <w:tcPr>
            <w:tcW w:w="6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1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光模块</w:t>
            </w:r>
          </w:p>
        </w:tc>
        <w:tc>
          <w:tcPr>
            <w:tcW w:w="5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千兆光模块</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块</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r>
      <w:tr>
        <w:tblPrEx>
          <w:tblCellMar>
            <w:top w:w="0" w:type="dxa"/>
            <w:left w:w="108" w:type="dxa"/>
            <w:bottom w:w="0" w:type="dxa"/>
            <w:right w:w="108" w:type="dxa"/>
          </w:tblCellMar>
        </w:tblPrEx>
        <w:trPr>
          <w:trHeight w:val="647" w:hRule="atLeast"/>
        </w:trPr>
        <w:tc>
          <w:tcPr>
            <w:tcW w:w="6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无线收银系统控制器</w:t>
            </w:r>
          </w:p>
        </w:tc>
        <w:tc>
          <w:tcPr>
            <w:tcW w:w="5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1.管理规格：最大管理AP数量≥256，最大接入用户数量≥2K，三层转发吞吐量≥4 Gbps，提供不少于6个千兆RJ45电口和2个千兆Combo口，提供USB接口，支持8端口POE供电；</w:t>
            </w:r>
            <w:r>
              <w:rPr>
                <w:rFonts w:hint="eastAsia" w:ascii="宋体" w:hAnsi="宋体" w:cs="宋体"/>
                <w:kern w:val="0"/>
                <w:sz w:val="20"/>
                <w:szCs w:val="20"/>
              </w:rPr>
              <w:br w:type="textWrapping"/>
            </w:r>
            <w:r>
              <w:rPr>
                <w:rFonts w:hint="eastAsia" w:ascii="宋体" w:hAnsi="宋体" w:cs="宋体"/>
                <w:kern w:val="0"/>
                <w:sz w:val="20"/>
                <w:szCs w:val="20"/>
              </w:rPr>
              <w:t>2.路由特性：支持静态路由，RIP-1/RIP-2，OSPF，BGP，IS-IS，路由策略、策略路由；</w:t>
            </w:r>
            <w:r>
              <w:rPr>
                <w:rFonts w:hint="eastAsia" w:ascii="宋体" w:hAnsi="宋体" w:cs="宋体"/>
                <w:kern w:val="0"/>
                <w:sz w:val="20"/>
                <w:szCs w:val="20"/>
              </w:rPr>
              <w:br w:type="textWrapping"/>
            </w:r>
            <w:r>
              <w:rPr>
                <w:rFonts w:hint="eastAsia" w:ascii="宋体" w:hAnsi="宋体" w:cs="宋体"/>
                <w:kern w:val="0"/>
                <w:sz w:val="20"/>
                <w:szCs w:val="20"/>
              </w:rPr>
              <w:t>3.认证加密：支持MAC 地址认证、802.1x认证、Portal认证、MAC+Portal混合认证、WAPI认证；支持PPSK，可为同一个SSID下的不同终端分配不同的PSK密钥；支持内置微信认证；</w:t>
            </w:r>
            <w:r>
              <w:rPr>
                <w:rFonts w:hint="eastAsia" w:ascii="宋体" w:hAnsi="宋体" w:cs="宋体"/>
                <w:kern w:val="0"/>
                <w:sz w:val="20"/>
                <w:szCs w:val="20"/>
              </w:rPr>
              <w:br w:type="textWrapping"/>
            </w:r>
            <w:r>
              <w:rPr>
                <w:rFonts w:hint="eastAsia" w:ascii="宋体" w:hAnsi="宋体" w:cs="宋体"/>
                <w:kern w:val="0"/>
                <w:sz w:val="20"/>
                <w:szCs w:val="20"/>
              </w:rPr>
              <w:t>4.★支持基于802.11k 和 802.11v协议的智能漫游，使低漫游灵敏度的客户端能漫游到最佳AP，提供国际权威Tolly检测报告证明；</w:t>
            </w:r>
            <w:r>
              <w:rPr>
                <w:rFonts w:hint="eastAsia" w:ascii="宋体" w:hAnsi="宋体" w:cs="宋体"/>
                <w:kern w:val="0"/>
                <w:sz w:val="20"/>
                <w:szCs w:val="20"/>
              </w:rPr>
              <w:br w:type="textWrapping"/>
            </w:r>
            <w:r>
              <w:rPr>
                <w:rFonts w:hint="eastAsia" w:ascii="宋体" w:hAnsi="宋体" w:cs="宋体"/>
                <w:kern w:val="0"/>
                <w:sz w:val="20"/>
                <w:szCs w:val="20"/>
              </w:rPr>
              <w:t xml:space="preserve">5.★支持应用识别（如QQ、微信等），能针对识别出的不同应用设定相应管控策略，提供国际权威Tolly检测报告证明； </w:t>
            </w:r>
            <w:r>
              <w:rPr>
                <w:rFonts w:hint="eastAsia" w:ascii="宋体" w:hAnsi="宋体" w:cs="宋体"/>
                <w:kern w:val="0"/>
                <w:sz w:val="20"/>
                <w:szCs w:val="20"/>
              </w:rPr>
              <w:br w:type="textWrapping"/>
            </w:r>
            <w:r>
              <w:rPr>
                <w:rFonts w:hint="eastAsia" w:ascii="宋体" w:hAnsi="宋体" w:cs="宋体"/>
                <w:kern w:val="0"/>
                <w:sz w:val="20"/>
                <w:szCs w:val="20"/>
              </w:rPr>
              <w:t>6.支持语音视频业务增强，在有线和无线侧提升语音视频业务的转发优先级；</w:t>
            </w:r>
            <w:r>
              <w:rPr>
                <w:rFonts w:hint="eastAsia" w:ascii="宋体" w:hAnsi="宋体" w:cs="宋体"/>
                <w:kern w:val="0"/>
                <w:sz w:val="20"/>
                <w:szCs w:val="20"/>
              </w:rPr>
              <w:br w:type="textWrapping"/>
            </w:r>
            <w:r>
              <w:rPr>
                <w:rFonts w:hint="eastAsia" w:ascii="宋体" w:hAnsi="宋体" w:cs="宋体"/>
                <w:kern w:val="0"/>
                <w:sz w:val="20"/>
                <w:szCs w:val="20"/>
              </w:rPr>
              <w:t xml:space="preserve">7.★支持EoGRE，两台AC可以跨越二层通信，提供国际权威Tolly检测报告证明； </w:t>
            </w:r>
            <w:r>
              <w:rPr>
                <w:rFonts w:hint="eastAsia" w:ascii="宋体" w:hAnsi="宋体" w:cs="宋体"/>
                <w:kern w:val="0"/>
                <w:sz w:val="20"/>
                <w:szCs w:val="20"/>
              </w:rPr>
              <w:br w:type="textWrapping"/>
            </w:r>
            <w:r>
              <w:rPr>
                <w:rFonts w:hint="eastAsia" w:ascii="宋体" w:hAnsi="宋体" w:cs="宋体"/>
                <w:kern w:val="0"/>
                <w:sz w:val="20"/>
                <w:szCs w:val="20"/>
              </w:rPr>
              <w:t>8.支持URL过滤，允许或禁止用户访问某些网页资源；</w:t>
            </w:r>
            <w:r>
              <w:rPr>
                <w:rFonts w:hint="eastAsia" w:ascii="宋体" w:hAnsi="宋体" w:cs="宋体"/>
                <w:kern w:val="0"/>
                <w:sz w:val="20"/>
                <w:szCs w:val="20"/>
              </w:rPr>
              <w:br w:type="textWrapping"/>
            </w:r>
            <w:r>
              <w:rPr>
                <w:rFonts w:hint="eastAsia" w:ascii="宋体" w:hAnsi="宋体" w:cs="宋体"/>
                <w:kern w:val="0"/>
                <w:sz w:val="20"/>
                <w:szCs w:val="20"/>
              </w:rPr>
              <w:t>9.支持反病毒功能，支持入侵防御，检测和中止入侵行为（包括缓冲区溢出攻击、木马、蠕虫等）；</w:t>
            </w:r>
            <w:r>
              <w:rPr>
                <w:rFonts w:hint="eastAsia" w:ascii="宋体" w:hAnsi="宋体" w:cs="宋体"/>
                <w:kern w:val="0"/>
                <w:sz w:val="20"/>
                <w:szCs w:val="20"/>
              </w:rPr>
              <w:br w:type="textWrapping"/>
            </w:r>
            <w:r>
              <w:rPr>
                <w:rFonts w:hint="eastAsia" w:ascii="宋体" w:hAnsi="宋体" w:cs="宋体"/>
                <w:kern w:val="0"/>
                <w:sz w:val="20"/>
                <w:szCs w:val="20"/>
              </w:rPr>
              <w:t>10.★所投设备厂家是有线无线局域网接入基础设施Gartner四象限远见者或领导者象限成员，提供证明材料;</w:t>
            </w:r>
            <w:r>
              <w:rPr>
                <w:rFonts w:hint="eastAsia" w:ascii="宋体" w:hAnsi="宋体" w:cs="宋体"/>
                <w:kern w:val="0"/>
                <w:sz w:val="20"/>
                <w:szCs w:val="20"/>
              </w:rPr>
              <w:br w:type="textWrapping"/>
            </w:r>
            <w:r>
              <w:rPr>
                <w:rFonts w:hint="eastAsia" w:ascii="宋体" w:hAnsi="宋体" w:cs="宋体"/>
                <w:kern w:val="0"/>
                <w:sz w:val="20"/>
                <w:szCs w:val="20"/>
              </w:rPr>
              <w:t>11.此次实配不少于69个无线AP管理授权。</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3120" w:hRule="atLeast"/>
        </w:trPr>
        <w:tc>
          <w:tcPr>
            <w:tcW w:w="6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无线收银系统AP</w:t>
            </w:r>
          </w:p>
        </w:tc>
        <w:tc>
          <w:tcPr>
            <w:tcW w:w="5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1.满足IEEE802.11a/b/g/n/ac标准，支持2.4G和5G双频段同时工作；</w:t>
            </w:r>
            <w:r>
              <w:rPr>
                <w:rFonts w:hint="eastAsia" w:ascii="宋体" w:hAnsi="宋体" w:cs="宋体"/>
                <w:kern w:val="0"/>
                <w:sz w:val="20"/>
                <w:szCs w:val="20"/>
              </w:rPr>
              <w:br w:type="textWrapping"/>
            </w:r>
            <w:r>
              <w:rPr>
                <w:rFonts w:hint="eastAsia" w:ascii="宋体" w:hAnsi="宋体" w:cs="宋体"/>
                <w:kern w:val="0"/>
                <w:sz w:val="20"/>
                <w:szCs w:val="20"/>
              </w:rPr>
              <w:t>2.支持2空间流，MU-MIMO，整机速率≥1.26Gbps,接口≥1个10/100/1000Mbps(RJ45 )；</w:t>
            </w:r>
            <w:r>
              <w:rPr>
                <w:rFonts w:hint="eastAsia" w:ascii="宋体" w:hAnsi="宋体" w:cs="宋体"/>
                <w:kern w:val="0"/>
                <w:sz w:val="20"/>
                <w:szCs w:val="20"/>
              </w:rPr>
              <w:br w:type="textWrapping"/>
            </w:r>
            <w:r>
              <w:rPr>
                <w:rFonts w:hint="eastAsia" w:ascii="宋体" w:hAnsi="宋体" w:cs="宋体"/>
                <w:kern w:val="0"/>
                <w:sz w:val="20"/>
                <w:szCs w:val="20"/>
              </w:rPr>
              <w:t>3.支持最大接入用户数256个，支持SSID个数≥32， ACL条目数≥4K；</w:t>
            </w:r>
            <w:r>
              <w:rPr>
                <w:rFonts w:hint="eastAsia" w:ascii="宋体" w:hAnsi="宋体" w:cs="宋体"/>
                <w:kern w:val="0"/>
                <w:sz w:val="20"/>
                <w:szCs w:val="20"/>
              </w:rPr>
              <w:br w:type="textWrapping"/>
            </w:r>
            <w:r>
              <w:rPr>
                <w:rFonts w:hint="eastAsia" w:ascii="宋体" w:hAnsi="宋体" w:cs="宋体"/>
                <w:kern w:val="0"/>
                <w:sz w:val="20"/>
                <w:szCs w:val="20"/>
              </w:rPr>
              <w:t>4.支持本地电源供电和PoE供电两种供电模式；</w:t>
            </w:r>
            <w:r>
              <w:rPr>
                <w:rFonts w:hint="eastAsia" w:ascii="宋体" w:hAnsi="宋体" w:cs="宋体"/>
                <w:kern w:val="0"/>
                <w:sz w:val="20"/>
                <w:szCs w:val="20"/>
              </w:rPr>
              <w:br w:type="textWrapping"/>
            </w:r>
            <w:r>
              <w:rPr>
                <w:rFonts w:hint="eastAsia" w:ascii="宋体" w:hAnsi="宋体" w:cs="宋体"/>
                <w:kern w:val="0"/>
                <w:sz w:val="20"/>
                <w:szCs w:val="20"/>
              </w:rPr>
              <w:t>5.支持频谱分析功能，可对蓝牙、微波炉、无绳电话、Zigbee、Game Controller、2.4G/5G无线影音、婴儿监护器等干扰源进行识别；并可与网管系统配合，对干扰源进行定位和频谱显示；</w:t>
            </w:r>
            <w:r>
              <w:rPr>
                <w:rFonts w:hint="eastAsia" w:ascii="宋体" w:hAnsi="宋体" w:cs="宋体"/>
                <w:kern w:val="0"/>
                <w:sz w:val="20"/>
                <w:szCs w:val="20"/>
              </w:rPr>
              <w:br w:type="textWrapping"/>
            </w:r>
            <w:r>
              <w:rPr>
                <w:rFonts w:hint="eastAsia" w:ascii="宋体" w:hAnsi="宋体" w:cs="宋体"/>
                <w:kern w:val="0"/>
                <w:sz w:val="20"/>
                <w:szCs w:val="20"/>
              </w:rPr>
              <w:t>7.★支持防护等级≥IP41，提供官网截图及链接；</w:t>
            </w:r>
            <w:r>
              <w:rPr>
                <w:rFonts w:hint="eastAsia" w:ascii="宋体" w:hAnsi="宋体" w:cs="宋体"/>
                <w:kern w:val="0"/>
                <w:sz w:val="20"/>
                <w:szCs w:val="20"/>
              </w:rPr>
              <w:br w:type="textWrapping"/>
            </w:r>
            <w:r>
              <w:rPr>
                <w:rFonts w:hint="eastAsia" w:ascii="宋体" w:hAnsi="宋体" w:cs="宋体"/>
                <w:kern w:val="0"/>
                <w:sz w:val="20"/>
                <w:szCs w:val="20"/>
              </w:rPr>
              <w:t>8.支持MAC认证、Portal认证、802.1X认证、PSK认证模式 ，并可支持MAC + Portal混合认证；</w:t>
            </w:r>
            <w:r>
              <w:rPr>
                <w:rFonts w:hint="eastAsia" w:ascii="宋体" w:hAnsi="宋体" w:cs="宋体"/>
                <w:kern w:val="0"/>
                <w:sz w:val="20"/>
                <w:szCs w:val="20"/>
              </w:rPr>
              <w:br w:type="textWrapping"/>
            </w:r>
            <w:r>
              <w:rPr>
                <w:rFonts w:hint="eastAsia" w:ascii="宋体" w:hAnsi="宋体" w:cs="宋体"/>
                <w:kern w:val="0"/>
                <w:sz w:val="20"/>
                <w:szCs w:val="20"/>
              </w:rPr>
              <w:t>9.★工作温度:(-10℃～+50℃)提供官网截图及链接证明；</w:t>
            </w:r>
            <w:r>
              <w:rPr>
                <w:rFonts w:hint="eastAsia" w:ascii="宋体" w:hAnsi="宋体" w:cs="宋体"/>
                <w:kern w:val="0"/>
                <w:sz w:val="20"/>
                <w:szCs w:val="20"/>
              </w:rPr>
              <w:br w:type="textWrapping"/>
            </w:r>
            <w:r>
              <w:rPr>
                <w:rFonts w:hint="eastAsia" w:ascii="宋体" w:hAnsi="宋体" w:cs="宋体"/>
                <w:kern w:val="0"/>
                <w:sz w:val="20"/>
                <w:szCs w:val="20"/>
              </w:rPr>
              <w:t>10.★支持波束成形技术（Beamforming）技术，提供官网截图和链接；</w:t>
            </w:r>
            <w:r>
              <w:rPr>
                <w:rFonts w:hint="eastAsia" w:ascii="宋体" w:hAnsi="宋体" w:cs="宋体"/>
                <w:kern w:val="0"/>
                <w:sz w:val="20"/>
                <w:szCs w:val="20"/>
              </w:rPr>
              <w:br w:type="textWrapping"/>
            </w:r>
            <w:r>
              <w:rPr>
                <w:rFonts w:hint="eastAsia" w:ascii="宋体" w:hAnsi="宋体" w:cs="宋体"/>
                <w:kern w:val="0"/>
                <w:sz w:val="20"/>
                <w:szCs w:val="20"/>
              </w:rPr>
              <w:t>11.★支持802.11w协议，实现对管理帧进行加密，此参数提供官网截图和链接。</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60</w:t>
            </w:r>
          </w:p>
        </w:tc>
      </w:tr>
    </w:tbl>
    <w:p>
      <w:pPr>
        <w:jc w:val="center"/>
      </w:pPr>
    </w:p>
    <w:p>
      <w:pPr>
        <w:pStyle w:val="4"/>
        <w:spacing w:line="360" w:lineRule="auto"/>
        <w:rPr>
          <w:rFonts w:hAnsi="宋体"/>
          <w:sz w:val="24"/>
          <w:szCs w:val="24"/>
        </w:rPr>
      </w:pPr>
      <w:bookmarkStart w:id="21" w:name="_Toc29394983"/>
      <w:r>
        <w:rPr>
          <w:rFonts w:hint="eastAsia" w:hAnsi="宋体"/>
          <w:sz w:val="24"/>
          <w:szCs w:val="24"/>
        </w:rPr>
        <w:t>五、机房工程系统</w:t>
      </w:r>
      <w:bookmarkEnd w:id="21"/>
    </w:p>
    <w:p>
      <w:pPr>
        <w:spacing w:line="360" w:lineRule="auto"/>
        <w:ind w:firstLine="480" w:firstLineChars="200"/>
        <w:rPr>
          <w:rFonts w:ascii="宋体" w:hAnsi="宋体"/>
          <w:sz w:val="24"/>
        </w:rPr>
      </w:pPr>
      <w:r>
        <w:rPr>
          <w:rFonts w:hint="eastAsia" w:ascii="宋体" w:hAnsi="宋体"/>
          <w:sz w:val="24"/>
        </w:rPr>
        <w:t>机房作为数据存储、传输、设备控制中心，应为计算机和网络系统的可靠运行提供合乎规范的环境条件，在温度、湿度、洁净度、电性能、防火性、承重能力、防静电能力、防漏、防雷、接地等各项指标上均应满足设备要求，设计和施工必须符合国家有关标准、规范、规定，同时也应严格遵守施工地的施工要求，并且参照国际先进规范，建设一个现代化、规范化的计算机机房。机房工程的设计与建设应遵循技术先进、布局合理、经济适用、安全可靠、可扩展性等原则。</w:t>
      </w:r>
    </w:p>
    <w:p>
      <w:pPr>
        <w:spacing w:line="360" w:lineRule="auto"/>
        <w:ind w:firstLine="240"/>
        <w:rPr>
          <w:rFonts w:ascii="宋体" w:hAnsi="宋体"/>
          <w:sz w:val="24"/>
        </w:rPr>
      </w:pPr>
      <w:r>
        <w:rPr>
          <w:rFonts w:hint="eastAsia" w:ascii="宋体" w:hAnsi="宋体"/>
          <w:sz w:val="24"/>
        </w:rPr>
        <w:t>⑴机房安装可靠的避雷设施、防雷设备，强电防雷采用三级防雷措施；</w:t>
      </w:r>
    </w:p>
    <w:p>
      <w:pPr>
        <w:spacing w:line="360" w:lineRule="auto"/>
        <w:ind w:firstLine="240" w:firstLineChars="100"/>
        <w:rPr>
          <w:rFonts w:ascii="宋体" w:hAnsi="宋体"/>
          <w:sz w:val="24"/>
        </w:rPr>
      </w:pPr>
      <w:r>
        <w:rPr>
          <w:rFonts w:hint="eastAsia" w:ascii="宋体" w:hAnsi="宋体"/>
          <w:sz w:val="24"/>
        </w:rPr>
        <w:t>⑵机房应配有专用地线，接地电阻小于1欧姆。有良好的防静电措施，安装防静电地板，地面有接地铜排；</w:t>
      </w:r>
    </w:p>
    <w:p>
      <w:pPr>
        <w:spacing w:line="360" w:lineRule="auto"/>
        <w:ind w:firstLine="240" w:firstLineChars="100"/>
        <w:rPr>
          <w:rFonts w:ascii="宋体" w:hAnsi="宋体"/>
          <w:sz w:val="24"/>
        </w:rPr>
      </w:pPr>
      <w:r>
        <w:rPr>
          <w:rFonts w:hint="eastAsia" w:ascii="宋体" w:hAnsi="宋体"/>
          <w:sz w:val="24"/>
        </w:rPr>
        <w:t>⑶整个机房采用钢制抗静电活动地板，活动地板应符合现行国家标准《计算机机房用活动地板技术条件》的要求，投标单位须提供有关质量认证书；</w:t>
      </w:r>
    </w:p>
    <w:p>
      <w:pPr>
        <w:spacing w:line="360" w:lineRule="auto"/>
        <w:ind w:firstLine="240" w:firstLineChars="100"/>
        <w:rPr>
          <w:rFonts w:ascii="宋体" w:hAnsi="宋体"/>
          <w:sz w:val="24"/>
        </w:rPr>
      </w:pPr>
      <w:r>
        <w:rPr>
          <w:rFonts w:hint="eastAsia" w:ascii="宋体" w:hAnsi="宋体"/>
          <w:sz w:val="24"/>
        </w:rPr>
        <w:t>⑷机房地板设计全部采用著名品牌600*600防静电全钢地板敷设，高度要求为300mm地面，同时地板沿墙进行收边处理。地板承重在大于等于500kg</w:t>
      </w:r>
      <w:r>
        <w:rPr>
          <w:rFonts w:ascii="宋体" w:hAnsi="宋体"/>
          <w:sz w:val="24"/>
        </w:rPr>
        <w:t>/M</w:t>
      </w:r>
      <w:r>
        <w:rPr>
          <w:rFonts w:hint="eastAsia" w:ascii="宋体" w:hAnsi="宋体"/>
          <w:sz w:val="24"/>
          <w:vertAlign w:val="superscript"/>
        </w:rPr>
        <w:t>2</w:t>
      </w:r>
      <w:r>
        <w:rPr>
          <w:rFonts w:hint="eastAsia" w:ascii="宋体" w:hAnsi="宋体"/>
          <w:sz w:val="24"/>
        </w:rPr>
        <w:t>，防火达到B1级；</w:t>
      </w:r>
    </w:p>
    <w:p>
      <w:pPr>
        <w:spacing w:line="360" w:lineRule="auto"/>
        <w:ind w:firstLine="240" w:firstLineChars="100"/>
        <w:rPr>
          <w:rFonts w:ascii="宋体" w:hAnsi="宋体"/>
          <w:sz w:val="24"/>
        </w:rPr>
      </w:pPr>
      <w:r>
        <w:rPr>
          <w:rFonts w:hint="eastAsia" w:ascii="宋体" w:hAnsi="宋体"/>
          <w:sz w:val="24"/>
        </w:rPr>
        <w:t>⑸安装静电泄漏系统，铺设静电泄漏地网；</w:t>
      </w:r>
    </w:p>
    <w:p>
      <w:pPr>
        <w:spacing w:line="360" w:lineRule="auto"/>
        <w:ind w:firstLine="240"/>
        <w:rPr>
          <w:rFonts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6 \* GB2</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⑹</w:t>
      </w:r>
      <w:r>
        <w:rPr>
          <w:rFonts w:ascii="宋体" w:hAnsi="宋体"/>
          <w:sz w:val="24"/>
        </w:rPr>
        <w:fldChar w:fldCharType="end"/>
      </w:r>
      <w:r>
        <w:rPr>
          <w:rFonts w:hint="eastAsia" w:ascii="宋体" w:hAnsi="宋体"/>
          <w:sz w:val="24"/>
        </w:rPr>
        <w:t>核心设备区采用不间断电源（ups）供电，根据设备用电量，后备时间大于4小时，UPS内部控制系统的供电必须具有冗余，任何单路的供电电路发生故障不允许影响整个系统的正常运行，同样该供电电路也能够热插拔，以实现在线的维修能力。</w:t>
      </w:r>
    </w:p>
    <w:p>
      <w:pPr>
        <w:spacing w:line="360" w:lineRule="auto"/>
        <w:ind w:firstLine="480"/>
        <w:rPr>
          <w:rFonts w:ascii="宋体" w:hAnsi="宋体"/>
          <w:sz w:val="24"/>
        </w:rPr>
      </w:pPr>
      <w:r>
        <w:rPr>
          <w:rFonts w:hint="eastAsia" w:ascii="宋体" w:hAnsi="宋体"/>
          <w:sz w:val="24"/>
        </w:rPr>
        <w:t>本次机房建设系统主要包括以下几个部分：</w:t>
      </w:r>
    </w:p>
    <w:p>
      <w:pPr>
        <w:numPr>
          <w:ilvl w:val="0"/>
          <w:numId w:val="4"/>
        </w:numPr>
        <w:tabs>
          <w:tab w:val="left" w:pos="840"/>
          <w:tab w:val="left" w:pos="1440"/>
        </w:tabs>
        <w:spacing w:line="360" w:lineRule="auto"/>
        <w:ind w:firstLine="480"/>
        <w:rPr>
          <w:rFonts w:ascii="宋体" w:hAnsi="宋体"/>
          <w:sz w:val="24"/>
        </w:rPr>
      </w:pPr>
      <w:r>
        <w:rPr>
          <w:rFonts w:hint="eastAsia" w:ascii="宋体" w:hAnsi="宋体"/>
          <w:sz w:val="24"/>
        </w:rPr>
        <w:t>供配电及照明系统</w:t>
      </w:r>
    </w:p>
    <w:p>
      <w:pPr>
        <w:numPr>
          <w:ilvl w:val="0"/>
          <w:numId w:val="4"/>
        </w:numPr>
        <w:tabs>
          <w:tab w:val="left" w:pos="840"/>
          <w:tab w:val="left" w:pos="1440"/>
        </w:tabs>
        <w:spacing w:line="360" w:lineRule="auto"/>
        <w:ind w:firstLine="480"/>
        <w:rPr>
          <w:rFonts w:ascii="宋体" w:hAnsi="宋体"/>
          <w:sz w:val="24"/>
        </w:rPr>
      </w:pPr>
      <w:r>
        <w:rPr>
          <w:rFonts w:ascii="宋体" w:hAnsi="宋体"/>
          <w:sz w:val="24"/>
        </w:rPr>
        <w:t>UPS</w:t>
      </w:r>
      <w:r>
        <w:rPr>
          <w:rFonts w:hint="eastAsia" w:ascii="宋体" w:hAnsi="宋体"/>
          <w:sz w:val="24"/>
        </w:rPr>
        <w:t>不间断电源系统</w:t>
      </w:r>
    </w:p>
    <w:p>
      <w:pPr>
        <w:numPr>
          <w:ilvl w:val="0"/>
          <w:numId w:val="4"/>
        </w:numPr>
        <w:tabs>
          <w:tab w:val="left" w:pos="840"/>
          <w:tab w:val="left" w:pos="1440"/>
        </w:tabs>
        <w:spacing w:line="360" w:lineRule="auto"/>
        <w:ind w:firstLine="480"/>
        <w:rPr>
          <w:rFonts w:ascii="宋体" w:hAnsi="宋体"/>
          <w:sz w:val="24"/>
        </w:rPr>
      </w:pPr>
      <w:r>
        <w:rPr>
          <w:rFonts w:hint="eastAsia" w:ascii="宋体" w:hAnsi="宋体"/>
          <w:sz w:val="24"/>
        </w:rPr>
        <w:t>防雷与接地系统</w:t>
      </w:r>
    </w:p>
    <w:p>
      <w:pPr>
        <w:spacing w:line="360" w:lineRule="auto"/>
        <w:rPr>
          <w:rFonts w:ascii="宋体" w:hAnsi="宋体"/>
          <w:sz w:val="24"/>
        </w:rPr>
      </w:pPr>
    </w:p>
    <w:p>
      <w:pPr>
        <w:jc w:val="center"/>
        <w:rPr>
          <w:rFonts w:ascii="宋体" w:hAnsi="宋体"/>
          <w:b/>
          <w:sz w:val="24"/>
        </w:rPr>
      </w:pPr>
      <w:r>
        <w:rPr>
          <w:rFonts w:hint="eastAsia" w:ascii="宋体" w:hAnsi="宋体"/>
          <w:b/>
          <w:sz w:val="24"/>
        </w:rPr>
        <w:t>机房工程系统设备清单</w:t>
      </w:r>
    </w:p>
    <w:tbl>
      <w:tblPr>
        <w:tblStyle w:val="24"/>
        <w:tblW w:w="8320" w:type="dxa"/>
        <w:tblInd w:w="113" w:type="dxa"/>
        <w:tblLayout w:type="autofit"/>
        <w:tblCellMar>
          <w:top w:w="0" w:type="dxa"/>
          <w:left w:w="108" w:type="dxa"/>
          <w:bottom w:w="0" w:type="dxa"/>
          <w:right w:w="108" w:type="dxa"/>
        </w:tblCellMar>
      </w:tblPr>
      <w:tblGrid>
        <w:gridCol w:w="760"/>
        <w:gridCol w:w="1060"/>
        <w:gridCol w:w="4760"/>
        <w:gridCol w:w="800"/>
        <w:gridCol w:w="940"/>
      </w:tblGrid>
      <w:tr>
        <w:tblPrEx>
          <w:tblCellMar>
            <w:top w:w="0" w:type="dxa"/>
            <w:left w:w="108" w:type="dxa"/>
            <w:bottom w:w="0" w:type="dxa"/>
            <w:right w:w="108" w:type="dxa"/>
          </w:tblCellMar>
        </w:tblPrEx>
        <w:trPr>
          <w:trHeight w:val="240"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设备名称</w:t>
            </w:r>
          </w:p>
        </w:tc>
        <w:tc>
          <w:tcPr>
            <w:tcW w:w="4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参数</w:t>
            </w:r>
          </w:p>
        </w:tc>
        <w:tc>
          <w:tcPr>
            <w:tcW w:w="8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单位</w:t>
            </w:r>
          </w:p>
        </w:tc>
        <w:tc>
          <w:tcPr>
            <w:tcW w:w="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数量</w:t>
            </w:r>
          </w:p>
        </w:tc>
      </w:tr>
      <w:tr>
        <w:tblPrEx>
          <w:tblCellMar>
            <w:top w:w="0" w:type="dxa"/>
            <w:left w:w="108" w:type="dxa"/>
            <w:bottom w:w="0" w:type="dxa"/>
            <w:right w:w="108" w:type="dxa"/>
          </w:tblCellMar>
        </w:tblPrEx>
        <w:trPr>
          <w:trHeight w:val="557"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防静电地板</w:t>
            </w:r>
          </w:p>
        </w:tc>
        <w:tc>
          <w:tcPr>
            <w:tcW w:w="4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全钢国标防静电地板（高耐磨）</w:t>
            </w:r>
            <w:r>
              <w:rPr>
                <w:rFonts w:hint="eastAsia" w:ascii="宋体" w:hAnsi="宋体" w:cs="宋体"/>
                <w:kern w:val="0"/>
                <w:sz w:val="20"/>
                <w:szCs w:val="20"/>
              </w:rPr>
              <w:br w:type="textWrapping"/>
            </w:r>
            <w:r>
              <w:rPr>
                <w:rFonts w:hint="eastAsia" w:ascii="宋体" w:hAnsi="宋体" w:cs="宋体"/>
                <w:kern w:val="0"/>
                <w:sz w:val="20"/>
                <w:szCs w:val="20"/>
              </w:rPr>
              <w:t>1.600*600*35mm（含配件）防静电地板，大于等于1.0PVC，（或HPL）贴面，适合本地气候；</w:t>
            </w:r>
            <w:r>
              <w:rPr>
                <w:rFonts w:hint="eastAsia" w:ascii="宋体" w:hAnsi="宋体" w:cs="宋体"/>
                <w:kern w:val="0"/>
                <w:sz w:val="20"/>
                <w:szCs w:val="20"/>
              </w:rPr>
              <w:br w:type="textWrapping"/>
            </w:r>
            <w:r>
              <w:rPr>
                <w:rFonts w:hint="eastAsia" w:ascii="宋体" w:hAnsi="宋体" w:cs="宋体"/>
                <w:kern w:val="0"/>
                <w:sz w:val="20"/>
                <w:szCs w:val="20"/>
              </w:rPr>
              <w:t>2.优质钢板拉伸成型、点焊、喷塑、内腔填充发泡水泥填料，表面粘贴耐高温阻燃装饰板。</w:t>
            </w:r>
            <w:r>
              <w:rPr>
                <w:rFonts w:hint="eastAsia" w:ascii="宋体" w:hAnsi="宋体" w:cs="宋体"/>
                <w:kern w:val="0"/>
                <w:sz w:val="20"/>
                <w:szCs w:val="20"/>
              </w:rPr>
              <w:br w:type="textWrapping"/>
            </w:r>
            <w:r>
              <w:rPr>
                <w:rFonts w:hint="eastAsia" w:ascii="宋体" w:hAnsi="宋体" w:cs="宋体"/>
                <w:kern w:val="0"/>
                <w:sz w:val="20"/>
                <w:szCs w:val="20"/>
              </w:rPr>
              <w:t>3.耐磨不开裂，表面耐磨0.1g/1000转，0.8mm钢地板外表经磷化后进行喷塑处理，内腔填充发泡水泥，高度15-25cm。</w:t>
            </w:r>
            <w:r>
              <w:rPr>
                <w:rFonts w:hint="eastAsia" w:ascii="宋体" w:hAnsi="宋体" w:cs="宋体"/>
                <w:kern w:val="0"/>
                <w:sz w:val="20"/>
                <w:szCs w:val="20"/>
              </w:rPr>
              <w:br w:type="textWrapping"/>
            </w:r>
            <w:r>
              <w:rPr>
                <w:rFonts w:hint="eastAsia" w:ascii="宋体" w:hAnsi="宋体" w:cs="宋体"/>
                <w:kern w:val="0"/>
                <w:sz w:val="20"/>
                <w:szCs w:val="20"/>
              </w:rPr>
              <w:t>4.镶嵌导电嵌条、支架、柄梁、整体镀锌。</w:t>
            </w:r>
            <w:r>
              <w:rPr>
                <w:rFonts w:hint="eastAsia" w:ascii="宋体" w:hAnsi="宋体" w:cs="宋体"/>
                <w:kern w:val="0"/>
                <w:sz w:val="20"/>
                <w:szCs w:val="20"/>
              </w:rPr>
              <w:br w:type="textWrapping"/>
            </w:r>
            <w:r>
              <w:rPr>
                <w:rFonts w:hint="eastAsia" w:ascii="宋体" w:hAnsi="宋体" w:cs="宋体"/>
                <w:kern w:val="0"/>
                <w:sz w:val="20"/>
                <w:szCs w:val="20"/>
              </w:rPr>
              <w:t>5.静电喷塑、耐腐蚀、防火、防静电、防尘。 </w:t>
            </w:r>
            <w:r>
              <w:rPr>
                <w:rFonts w:hint="eastAsia" w:ascii="宋体" w:hAnsi="宋体" w:cs="宋体"/>
                <w:kern w:val="0"/>
                <w:sz w:val="20"/>
                <w:szCs w:val="20"/>
              </w:rPr>
              <w:br w:type="textWrapping"/>
            </w:r>
            <w:r>
              <w:rPr>
                <w:rFonts w:hint="eastAsia" w:ascii="宋体" w:hAnsi="宋体" w:cs="宋体"/>
                <w:kern w:val="0"/>
                <w:sz w:val="20"/>
                <w:szCs w:val="20"/>
              </w:rPr>
              <w:t>6.防火性能A级，系统电阻1X10</w:t>
            </w:r>
            <w:r>
              <w:rPr>
                <w:rFonts w:hint="eastAsia" w:ascii="宋体" w:hAnsi="宋体" w:cs="宋体"/>
                <w:kern w:val="0"/>
                <w:sz w:val="20"/>
                <w:szCs w:val="20"/>
                <w:vertAlign w:val="superscript"/>
              </w:rPr>
              <w:t>5</w:t>
            </w:r>
            <w:r>
              <w:rPr>
                <w:rFonts w:hint="eastAsia" w:ascii="宋体" w:hAnsi="宋体" w:cs="宋体"/>
                <w:kern w:val="0"/>
                <w:sz w:val="20"/>
                <w:szCs w:val="20"/>
              </w:rPr>
              <w:t>一1X10</w:t>
            </w:r>
            <w:r>
              <w:rPr>
                <w:rFonts w:hint="eastAsia" w:ascii="宋体" w:hAnsi="宋体" w:cs="宋体"/>
                <w:kern w:val="0"/>
                <w:sz w:val="20"/>
                <w:szCs w:val="20"/>
                <w:vertAlign w:val="superscript"/>
              </w:rPr>
              <w:t>8</w:t>
            </w:r>
            <w:r>
              <w:rPr>
                <w:rFonts w:hint="eastAsia" w:ascii="宋体" w:hAnsi="宋体" w:cs="宋体"/>
                <w:kern w:val="0"/>
                <w:sz w:val="20"/>
                <w:szCs w:val="20"/>
              </w:rPr>
              <w:t>Ω，集中载荷≥453KG/m²，均布载菏≥15000N/m²。</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kern w:val="0"/>
                <w:sz w:val="20"/>
                <w:szCs w:val="20"/>
                <w:vertAlign w:val="superscript"/>
              </w:rPr>
              <w:t>2</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92</w:t>
            </w:r>
          </w:p>
        </w:tc>
      </w:tr>
      <w:tr>
        <w:tblPrEx>
          <w:tblCellMar>
            <w:top w:w="0" w:type="dxa"/>
            <w:left w:w="108" w:type="dxa"/>
            <w:bottom w:w="0" w:type="dxa"/>
            <w:right w:w="108" w:type="dxa"/>
          </w:tblCellMar>
        </w:tblPrEx>
        <w:trPr>
          <w:trHeight w:val="648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UPS</w:t>
            </w:r>
          </w:p>
        </w:tc>
        <w:tc>
          <w:tcPr>
            <w:tcW w:w="4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技术规格：15KS  额定功率：15KVA/13.5KW                                      输入输出模式：三进单出   </w:t>
            </w:r>
          </w:p>
          <w:p>
            <w:pPr>
              <w:widowControl/>
              <w:jc w:val="left"/>
              <w:rPr>
                <w:rFonts w:ascii="宋体" w:hAnsi="宋体" w:cs="宋体"/>
                <w:kern w:val="0"/>
                <w:sz w:val="20"/>
                <w:szCs w:val="20"/>
              </w:rPr>
            </w:pPr>
            <w:r>
              <w:rPr>
                <w:rFonts w:hint="eastAsia" w:ascii="宋体" w:hAnsi="宋体" w:cs="宋体"/>
                <w:kern w:val="0"/>
                <w:sz w:val="20"/>
                <w:szCs w:val="20"/>
              </w:rPr>
              <w:t xml:space="preserve">产品拓扑：在线式双转换                                       输入电压：380V </w:t>
            </w:r>
            <w:r>
              <w:rPr>
                <w:rFonts w:hint="eastAsia" w:ascii="宋体" w:hAnsi="宋体" w:cs="宋体"/>
                <w:kern w:val="0"/>
                <w:sz w:val="20"/>
                <w:szCs w:val="20"/>
              </w:rPr>
              <w:br w:type="textWrapping"/>
            </w:r>
            <w:r>
              <w:rPr>
                <w:rFonts w:hint="eastAsia" w:ascii="宋体" w:hAnsi="宋体" w:cs="宋体"/>
                <w:kern w:val="0"/>
                <w:sz w:val="20"/>
                <w:szCs w:val="20"/>
              </w:rPr>
              <w:t xml:space="preserve">输入电压范围：120V-275V（176V-275V  可满载运行） </w:t>
            </w:r>
            <w:r>
              <w:rPr>
                <w:rFonts w:hint="eastAsia" w:ascii="宋体" w:hAnsi="宋体" w:cs="宋体"/>
                <w:kern w:val="0"/>
                <w:sz w:val="20"/>
                <w:szCs w:val="20"/>
              </w:rPr>
              <w:br w:type="textWrapping"/>
            </w:r>
            <w:r>
              <w:rPr>
                <w:rFonts w:hint="eastAsia" w:ascii="宋体" w:hAnsi="宋体" w:cs="宋体"/>
                <w:kern w:val="0"/>
                <w:sz w:val="20"/>
                <w:szCs w:val="20"/>
              </w:rPr>
              <w:t xml:space="preserve">输入 PF ：&gt;0.99                                           </w:t>
            </w:r>
            <w:r>
              <w:rPr>
                <w:rFonts w:hint="eastAsia" w:ascii="宋体" w:hAnsi="宋体" w:cs="宋体"/>
                <w:kern w:val="0"/>
                <w:sz w:val="20"/>
                <w:szCs w:val="20"/>
              </w:rPr>
              <w:br w:type="textWrapping"/>
            </w:r>
            <w:r>
              <w:rPr>
                <w:rFonts w:hint="eastAsia" w:ascii="宋体" w:hAnsi="宋体" w:cs="宋体"/>
                <w:kern w:val="0"/>
                <w:sz w:val="20"/>
                <w:szCs w:val="20"/>
              </w:rPr>
              <w:t xml:space="preserve">输出电压/输出失真度：220V/230V/240V ±1%, THDU&lt;2%(线性负载） </w:t>
            </w:r>
            <w:r>
              <w:rPr>
                <w:rFonts w:hint="eastAsia" w:ascii="宋体" w:hAnsi="宋体" w:cs="宋体"/>
                <w:kern w:val="0"/>
                <w:sz w:val="20"/>
                <w:szCs w:val="20"/>
              </w:rPr>
              <w:br w:type="textWrapping"/>
            </w:r>
            <w:r>
              <w:rPr>
                <w:rFonts w:hint="eastAsia" w:ascii="宋体" w:hAnsi="宋体" w:cs="宋体"/>
                <w:kern w:val="0"/>
                <w:sz w:val="20"/>
                <w:szCs w:val="20"/>
              </w:rPr>
              <w:t xml:space="preserve">输入频率范围：40Hz-70Hz, 50/60Hz 自适应 效率：&gt;93.5% （在线模式）, 98%（ECO 模式） 过载能力：105%-125% : 10min, 125%-150% : 30s, &gt;150% : 500ms </w:t>
            </w:r>
            <w:r>
              <w:rPr>
                <w:rFonts w:hint="eastAsia" w:ascii="宋体" w:hAnsi="宋体" w:cs="宋体"/>
                <w:kern w:val="0"/>
                <w:sz w:val="20"/>
                <w:szCs w:val="20"/>
              </w:rPr>
              <w:br w:type="textWrapping"/>
            </w:r>
            <w:r>
              <w:rPr>
                <w:rFonts w:hint="eastAsia" w:ascii="宋体" w:hAnsi="宋体" w:cs="宋体"/>
                <w:kern w:val="0"/>
                <w:sz w:val="20"/>
                <w:szCs w:val="20"/>
              </w:rPr>
              <w:t xml:space="preserve">并机：最大并机 3 台（可选） </w:t>
            </w:r>
            <w:r>
              <w:rPr>
                <w:rFonts w:hint="eastAsia" w:ascii="宋体" w:hAnsi="宋体" w:cs="宋体"/>
                <w:kern w:val="0"/>
                <w:sz w:val="20"/>
                <w:szCs w:val="20"/>
              </w:rPr>
              <w:br w:type="textWrapping"/>
            </w:r>
            <w:r>
              <w:rPr>
                <w:rFonts w:hint="eastAsia" w:ascii="宋体" w:hAnsi="宋体" w:cs="宋体"/>
                <w:kern w:val="0"/>
                <w:sz w:val="20"/>
                <w:szCs w:val="20"/>
              </w:rPr>
              <w:t xml:space="preserve">电池电压：192V    充电电流：4A, 8A 可扩展                               输入：端子台 </w:t>
            </w:r>
            <w:r>
              <w:rPr>
                <w:rFonts w:hint="eastAsia" w:ascii="宋体" w:hAnsi="宋体" w:cs="宋体"/>
                <w:kern w:val="0"/>
                <w:sz w:val="20"/>
                <w:szCs w:val="20"/>
              </w:rPr>
              <w:br w:type="textWrapping"/>
            </w:r>
            <w:r>
              <w:rPr>
                <w:rFonts w:hint="eastAsia" w:ascii="宋体" w:hAnsi="宋体" w:cs="宋体"/>
                <w:kern w:val="0"/>
                <w:sz w:val="20"/>
                <w:szCs w:val="20"/>
              </w:rPr>
              <w:t xml:space="preserve">输出：端子台                                                100AH 电池：102/41    显示：中文 LCD  通讯端口：RS232 标配 , USB 可扩展可扩展插槽：选配，可扩展 USB 卡，MODBUS 卡，NMC 卡 软件：Winpower </w:t>
            </w:r>
            <w:r>
              <w:rPr>
                <w:rFonts w:hint="eastAsia" w:ascii="宋体" w:hAnsi="宋体" w:cs="宋体"/>
                <w:kern w:val="0"/>
                <w:sz w:val="20"/>
                <w:szCs w:val="20"/>
              </w:rPr>
              <w:br w:type="textWrapping"/>
            </w:r>
            <w:r>
              <w:rPr>
                <w:rFonts w:hint="eastAsia" w:ascii="宋体" w:hAnsi="宋体" w:cs="宋体"/>
                <w:kern w:val="0"/>
                <w:sz w:val="20"/>
                <w:szCs w:val="20"/>
              </w:rPr>
              <w:t xml:space="preserve">运行环境温度：0 to 40°C                                    噪声：≤50dB </w:t>
            </w:r>
            <w:r>
              <w:rPr>
                <w:rFonts w:hint="eastAsia" w:ascii="宋体" w:hAnsi="宋体" w:cs="宋体"/>
                <w:kern w:val="0"/>
                <w:sz w:val="20"/>
                <w:szCs w:val="20"/>
              </w:rPr>
              <w:br w:type="textWrapping"/>
            </w:r>
            <w:r>
              <w:rPr>
                <w:rFonts w:hint="eastAsia" w:ascii="宋体" w:hAnsi="宋体" w:cs="宋体"/>
                <w:kern w:val="0"/>
                <w:sz w:val="20"/>
                <w:szCs w:val="20"/>
              </w:rPr>
              <w:t xml:space="preserve">安规：IEC/EN 62040-1, GB7260, GB4943 </w:t>
            </w:r>
            <w:r>
              <w:rPr>
                <w:rFonts w:hint="eastAsia" w:ascii="宋体" w:hAnsi="宋体" w:cs="宋体"/>
                <w:kern w:val="0"/>
                <w:sz w:val="20"/>
                <w:szCs w:val="20"/>
              </w:rPr>
              <w:br w:type="textWrapping"/>
            </w:r>
            <w:r>
              <w:rPr>
                <w:rFonts w:hint="eastAsia" w:ascii="宋体" w:hAnsi="宋体" w:cs="宋体"/>
                <w:kern w:val="0"/>
                <w:sz w:val="20"/>
                <w:szCs w:val="20"/>
              </w:rPr>
              <w:t xml:space="preserve">EMC, Performance,：IEC/EN 62040-2 IEC 61000 认证：TLC,节能认证 </w:t>
            </w:r>
            <w:r>
              <w:rPr>
                <w:rFonts w:hint="eastAsia" w:ascii="宋体" w:hAnsi="宋体" w:cs="宋体"/>
                <w:kern w:val="0"/>
                <w:sz w:val="20"/>
                <w:szCs w:val="20"/>
              </w:rPr>
              <w:br w:type="textWrapping"/>
            </w:r>
            <w:r>
              <w:rPr>
                <w:rFonts w:hint="eastAsia" w:ascii="宋体" w:hAnsi="宋体" w:cs="宋体"/>
                <w:kern w:val="0"/>
                <w:sz w:val="20"/>
                <w:szCs w:val="20"/>
              </w:rPr>
              <w:t xml:space="preserve">电池：32 节 </w:t>
            </w:r>
            <w:r>
              <w:rPr>
                <w:rFonts w:hint="eastAsia" w:ascii="宋体" w:hAnsi="宋体" w:cs="宋体"/>
                <w:kern w:val="0"/>
                <w:sz w:val="20"/>
                <w:szCs w:val="20"/>
              </w:rPr>
              <w:br w:type="textWrapping"/>
            </w:r>
            <w:r>
              <w:rPr>
                <w:rFonts w:hint="eastAsia" w:ascii="宋体" w:hAnsi="宋体" w:cs="宋体"/>
                <w:kern w:val="0"/>
                <w:sz w:val="20"/>
                <w:szCs w:val="20"/>
              </w:rPr>
              <w:t xml:space="preserve">电池柜：2 套 C16，含配套的电池链接线缆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72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配电柜</w:t>
            </w:r>
          </w:p>
        </w:tc>
        <w:tc>
          <w:tcPr>
            <w:tcW w:w="4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柜体1.7m定做门内门、柜内设备为国际知名品牌、输入输出数显表、工业连接器等，分别控制机房及楼层设备</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2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电缆桥架</w:t>
            </w:r>
          </w:p>
        </w:tc>
        <w:tc>
          <w:tcPr>
            <w:tcW w:w="4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300*100*1.2mm</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r>
      <w:tr>
        <w:tblPrEx>
          <w:tblCellMar>
            <w:top w:w="0" w:type="dxa"/>
            <w:left w:w="108" w:type="dxa"/>
            <w:bottom w:w="0" w:type="dxa"/>
            <w:right w:w="108" w:type="dxa"/>
          </w:tblCellMar>
        </w:tblPrEx>
        <w:trPr>
          <w:trHeight w:val="2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电气配管</w:t>
            </w:r>
          </w:p>
        </w:tc>
        <w:tc>
          <w:tcPr>
            <w:tcW w:w="4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JDG-Q235Ф25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140</w:t>
            </w:r>
          </w:p>
        </w:tc>
      </w:tr>
      <w:tr>
        <w:tblPrEx>
          <w:tblCellMar>
            <w:top w:w="0" w:type="dxa"/>
            <w:left w:w="108" w:type="dxa"/>
            <w:bottom w:w="0" w:type="dxa"/>
            <w:right w:w="108" w:type="dxa"/>
          </w:tblCellMar>
        </w:tblPrEx>
        <w:trPr>
          <w:trHeight w:val="2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电气配管</w:t>
            </w:r>
          </w:p>
        </w:tc>
        <w:tc>
          <w:tcPr>
            <w:tcW w:w="4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JDG-Q235Ф20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120</w:t>
            </w:r>
          </w:p>
        </w:tc>
      </w:tr>
      <w:tr>
        <w:tblPrEx>
          <w:tblCellMar>
            <w:top w:w="0" w:type="dxa"/>
            <w:left w:w="108" w:type="dxa"/>
            <w:bottom w:w="0" w:type="dxa"/>
            <w:right w:w="108" w:type="dxa"/>
          </w:tblCellMar>
        </w:tblPrEx>
        <w:trPr>
          <w:trHeight w:val="2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电力电缆</w:t>
            </w:r>
          </w:p>
        </w:tc>
        <w:tc>
          <w:tcPr>
            <w:tcW w:w="4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ZRVVR 3*6mm²</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900</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空调插座</w:t>
            </w:r>
          </w:p>
        </w:tc>
        <w:tc>
          <w:tcPr>
            <w:tcW w:w="4760" w:type="dxa"/>
            <w:tcBorders>
              <w:top w:val="nil"/>
              <w:left w:val="nil"/>
              <w:bottom w:val="single" w:color="auto" w:sz="4" w:space="0"/>
              <w:right w:val="single" w:color="auto" w:sz="4" w:space="0"/>
            </w:tcBorders>
            <w:shd w:val="clear" w:color="auto" w:fill="auto"/>
            <w:vAlign w:val="center"/>
          </w:tcPr>
          <w:p>
            <w:pPr>
              <w:widowControl/>
              <w:jc w:val="left"/>
              <w:rPr>
                <w:rFonts w:ascii="Arial Narrow" w:hAnsi="Arial Narrow" w:cs="宋体"/>
                <w:kern w:val="0"/>
                <w:sz w:val="20"/>
                <w:szCs w:val="20"/>
              </w:rPr>
            </w:pPr>
            <w:r>
              <w:rPr>
                <w:rFonts w:ascii="Arial Narrow" w:hAnsi="Arial Narrow" w:cs="宋体"/>
                <w:kern w:val="0"/>
                <w:sz w:val="20"/>
                <w:szCs w:val="20"/>
              </w:rPr>
              <w:t>GB86</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普通吸顶灯</w:t>
            </w:r>
          </w:p>
        </w:tc>
        <w:tc>
          <w:tcPr>
            <w:tcW w:w="4760" w:type="dxa"/>
            <w:tcBorders>
              <w:top w:val="nil"/>
              <w:left w:val="nil"/>
              <w:bottom w:val="single" w:color="auto" w:sz="4" w:space="0"/>
              <w:right w:val="single" w:color="auto" w:sz="4" w:space="0"/>
            </w:tcBorders>
            <w:shd w:val="clear" w:color="auto" w:fill="auto"/>
            <w:vAlign w:val="center"/>
          </w:tcPr>
          <w:p>
            <w:pPr>
              <w:widowControl/>
              <w:jc w:val="left"/>
              <w:rPr>
                <w:rFonts w:ascii="Arial Narrow" w:hAnsi="Arial Narrow" w:cs="宋体"/>
                <w:kern w:val="0"/>
                <w:sz w:val="20"/>
                <w:szCs w:val="20"/>
              </w:rPr>
            </w:pPr>
            <w:r>
              <w:rPr>
                <w:rFonts w:ascii="Arial Narrow" w:hAnsi="Arial Narrow" w:cs="宋体"/>
                <w:kern w:val="0"/>
                <w:sz w:val="20"/>
                <w:szCs w:val="20"/>
              </w:rPr>
              <w:t>40W</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CellMar>
            <w:top w:w="0" w:type="dxa"/>
            <w:left w:w="108" w:type="dxa"/>
            <w:bottom w:w="0" w:type="dxa"/>
            <w:right w:w="108" w:type="dxa"/>
          </w:tblCellMar>
        </w:tblPrEx>
        <w:trPr>
          <w:trHeight w:val="26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机房空调</w:t>
            </w:r>
          </w:p>
        </w:tc>
        <w:tc>
          <w:tcPr>
            <w:tcW w:w="4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1、原装进口压缩机；                                      </w:t>
            </w:r>
            <w:r>
              <w:rPr>
                <w:rFonts w:hint="eastAsia" w:ascii="宋体" w:hAnsi="宋体" w:cs="宋体"/>
                <w:kern w:val="0"/>
                <w:sz w:val="20"/>
                <w:szCs w:val="20"/>
              </w:rPr>
              <w:br w:type="textWrapping"/>
            </w:r>
            <w:r>
              <w:rPr>
                <w:rFonts w:hint="eastAsia" w:ascii="宋体" w:hAnsi="宋体" w:cs="宋体"/>
                <w:kern w:val="0"/>
                <w:sz w:val="20"/>
                <w:szCs w:val="20"/>
              </w:rPr>
              <w:t>2、来电自启功能；                                             3、单冷机房专用空调；                                        4、免费质保期3年；                                           5、单冷、功率3.8千瓦；                                       6、含铜管、线缆及空调安装的所有材料功能参数</w:t>
            </w:r>
            <w:r>
              <w:rPr>
                <w:rFonts w:hint="eastAsia" w:ascii="宋体" w:hAnsi="宋体" w:cs="宋体"/>
                <w:kern w:val="0"/>
                <w:sz w:val="20"/>
                <w:szCs w:val="20"/>
              </w:rPr>
              <w:br w:type="textWrapping"/>
            </w:r>
            <w:r>
              <w:rPr>
                <w:rFonts w:hint="eastAsia" w:ascii="宋体" w:hAnsi="宋体" w:cs="宋体"/>
                <w:kern w:val="0"/>
                <w:sz w:val="20"/>
                <w:szCs w:val="20"/>
              </w:rPr>
              <w:t xml:space="preserve">制冷量：12000瓦 </w:t>
            </w:r>
            <w:r>
              <w:rPr>
                <w:rFonts w:hint="eastAsia" w:ascii="宋体" w:hAnsi="宋体" w:cs="宋体"/>
                <w:kern w:val="0"/>
                <w:sz w:val="20"/>
                <w:szCs w:val="20"/>
              </w:rPr>
              <w:br w:type="textWrapping"/>
            </w:r>
            <w:r>
              <w:rPr>
                <w:rFonts w:hint="eastAsia" w:ascii="宋体" w:hAnsi="宋体" w:cs="宋体"/>
                <w:kern w:val="0"/>
                <w:sz w:val="20"/>
                <w:szCs w:val="20"/>
              </w:rPr>
              <w:t xml:space="preserve">制冷功率：3800瓦 </w:t>
            </w:r>
            <w:r>
              <w:rPr>
                <w:rFonts w:hint="eastAsia" w:ascii="宋体" w:hAnsi="宋体" w:cs="宋体"/>
                <w:kern w:val="0"/>
                <w:sz w:val="20"/>
                <w:szCs w:val="20"/>
              </w:rPr>
              <w:br w:type="textWrapping"/>
            </w:r>
            <w:r>
              <w:rPr>
                <w:rFonts w:hint="eastAsia" w:ascii="宋体" w:hAnsi="宋体" w:cs="宋体"/>
                <w:kern w:val="0"/>
                <w:sz w:val="20"/>
                <w:szCs w:val="20"/>
              </w:rPr>
              <w:t xml:space="preserve">制冷面积：55～65平方米 </w:t>
            </w:r>
            <w:r>
              <w:rPr>
                <w:rFonts w:hint="eastAsia" w:ascii="宋体" w:hAnsi="宋体" w:cs="宋体"/>
                <w:kern w:val="0"/>
                <w:sz w:val="20"/>
                <w:szCs w:val="20"/>
              </w:rPr>
              <w:br w:type="textWrapping"/>
            </w:r>
            <w:r>
              <w:rPr>
                <w:rFonts w:hint="eastAsia" w:ascii="宋体" w:hAnsi="宋体" w:cs="宋体"/>
                <w:kern w:val="0"/>
                <w:sz w:val="20"/>
                <w:szCs w:val="20"/>
              </w:rPr>
              <w:t xml:space="preserve">室内噪音：42-52分贝 </w:t>
            </w:r>
            <w:r>
              <w:rPr>
                <w:rFonts w:hint="eastAsia" w:ascii="宋体" w:hAnsi="宋体" w:cs="宋体"/>
                <w:kern w:val="0"/>
                <w:sz w:val="20"/>
                <w:szCs w:val="20"/>
              </w:rPr>
              <w:br w:type="textWrapping"/>
            </w:r>
            <w:r>
              <w:rPr>
                <w:rFonts w:hint="eastAsia" w:ascii="宋体" w:hAnsi="宋体" w:cs="宋体"/>
                <w:kern w:val="0"/>
                <w:sz w:val="20"/>
                <w:szCs w:val="20"/>
              </w:rPr>
              <w:t>室外噪音：57分贝</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2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PDU</w:t>
            </w:r>
          </w:p>
        </w:tc>
        <w:tc>
          <w:tcPr>
            <w:tcW w:w="4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8联防雷、开关、16A、4平方线</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条</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48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三级防雷系统</w:t>
            </w:r>
          </w:p>
        </w:tc>
        <w:tc>
          <w:tcPr>
            <w:tcW w:w="4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三级</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52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机房防静电接地系统</w:t>
            </w:r>
          </w:p>
        </w:tc>
        <w:tc>
          <w:tcPr>
            <w:tcW w:w="4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单独接地电阻≤1欧姆 BVR35mm</w:t>
            </w:r>
            <w:r>
              <w:rPr>
                <w:rFonts w:hint="eastAsia" w:ascii="宋体" w:hAnsi="宋体" w:cs="宋体"/>
                <w:kern w:val="0"/>
                <w:sz w:val="20"/>
                <w:szCs w:val="20"/>
                <w:vertAlign w:val="superscript"/>
              </w:rPr>
              <w:t xml:space="preserve">2 </w:t>
            </w:r>
            <w:r>
              <w:rPr>
                <w:rFonts w:hint="eastAsia" w:ascii="宋体" w:hAnsi="宋体" w:cs="宋体"/>
                <w:kern w:val="0"/>
                <w:sz w:val="20"/>
                <w:szCs w:val="20"/>
              </w:rPr>
              <w:t>铜排（接地专用）含全部安装配件</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48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工业连接器插头插座</w:t>
            </w:r>
          </w:p>
        </w:tc>
        <w:tc>
          <w:tcPr>
            <w:tcW w:w="4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一座二插</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2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配电箱</w:t>
            </w:r>
          </w:p>
        </w:tc>
        <w:tc>
          <w:tcPr>
            <w:tcW w:w="4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含控制开关和漏电保护器</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r>
      <w:tr>
        <w:tblPrEx>
          <w:tblCellMar>
            <w:top w:w="0" w:type="dxa"/>
            <w:left w:w="108" w:type="dxa"/>
            <w:bottom w:w="0" w:type="dxa"/>
            <w:right w:w="108" w:type="dxa"/>
          </w:tblCellMar>
        </w:tblPrEx>
        <w:trPr>
          <w:trHeight w:val="2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操作台</w:t>
            </w:r>
          </w:p>
        </w:tc>
        <w:tc>
          <w:tcPr>
            <w:tcW w:w="4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四工位</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bl>
    <w:p>
      <w:pPr>
        <w:jc w:val="center"/>
        <w:rPr>
          <w:rFonts w:ascii="宋体" w:hAnsi="宋体"/>
          <w:b/>
          <w:sz w:val="24"/>
        </w:rPr>
      </w:pPr>
    </w:p>
    <w:p/>
    <w:p>
      <w:pPr>
        <w:pStyle w:val="4"/>
        <w:spacing w:line="360" w:lineRule="auto"/>
        <w:rPr>
          <w:rFonts w:hAnsi="宋体"/>
          <w:sz w:val="24"/>
          <w:szCs w:val="24"/>
        </w:rPr>
      </w:pPr>
      <w:bookmarkStart w:id="22" w:name="_Toc29394984"/>
      <w:r>
        <w:rPr>
          <w:rFonts w:hint="eastAsia" w:hAnsi="宋体"/>
          <w:sz w:val="24"/>
          <w:szCs w:val="24"/>
        </w:rPr>
        <w:t>六、安防系统</w:t>
      </w:r>
      <w:bookmarkEnd w:id="22"/>
    </w:p>
    <w:p>
      <w:pPr>
        <w:spacing w:line="360" w:lineRule="auto"/>
        <w:ind w:firstLine="480"/>
        <w:rPr>
          <w:rFonts w:ascii="宋体" w:hAnsi="宋体" w:cs="宋体"/>
          <w:sz w:val="24"/>
        </w:rPr>
      </w:pPr>
      <w:r>
        <w:tab/>
      </w:r>
      <w:r>
        <w:rPr>
          <w:rFonts w:ascii="宋体" w:hAnsi="宋体" w:cs="宋体"/>
          <w:sz w:val="24"/>
        </w:rPr>
        <w:t>根据</w:t>
      </w:r>
      <w:r>
        <w:rPr>
          <w:rFonts w:hint="eastAsia" w:ascii="宋体" w:hAnsi="宋体" w:cs="宋体"/>
          <w:sz w:val="24"/>
        </w:rPr>
        <w:t>商业大厦</w:t>
      </w:r>
      <w:r>
        <w:rPr>
          <w:rFonts w:ascii="宋体" w:hAnsi="宋体" w:cs="宋体"/>
          <w:sz w:val="24"/>
        </w:rPr>
        <w:t>使用功能及安全防范管理的要求，监控系统采用网络高清监控解决方案，主要功能是对于各个现场实况进行监视，使得管理人员在中心控制室内能观察楼内重要地点的情况，对出入办公楼的人员进行监视、记录，管理人员可以在权限范围内查看前端图像并对前端图像采集设备进行操控。监控图像根据要求进行可靠的存储，各级管理人员可以在权限范围内方便地调用、查询。</w:t>
      </w:r>
    </w:p>
    <w:p>
      <w:pPr>
        <w:spacing w:line="360" w:lineRule="auto"/>
        <w:ind w:firstLine="480" w:firstLineChars="200"/>
        <w:rPr>
          <w:rFonts w:ascii="宋体" w:hAnsi="宋体" w:cs="宋体"/>
          <w:sz w:val="24"/>
        </w:rPr>
      </w:pPr>
      <w:r>
        <w:rPr>
          <w:rFonts w:ascii="宋体" w:hAnsi="宋体" w:cs="宋体"/>
          <w:sz w:val="24"/>
        </w:rPr>
        <w:t>整个购物中心实行安全保卫统一监控管理。在监控机房（监控中心）设置监控平台。监控中心的监控平台可以管理和查看室内和室外所有的监控图像。整个建筑区的监控中心、监控室设置及管理范围：室内、室外广场、道路、地下层、电梯内、楼顶的监控摄像机，并具有最高权限可管理、调阅整个</w:t>
      </w:r>
      <w:r>
        <w:rPr>
          <w:rFonts w:hint="eastAsia" w:ascii="宋体" w:hAnsi="宋体" w:cs="宋体"/>
          <w:sz w:val="24"/>
        </w:rPr>
        <w:t>商业大厦</w:t>
      </w:r>
      <w:r>
        <w:rPr>
          <w:rFonts w:ascii="宋体" w:hAnsi="宋体" w:cs="宋体"/>
          <w:sz w:val="24"/>
        </w:rPr>
        <w:t>所有监控图像</w:t>
      </w:r>
      <w:r>
        <w:rPr>
          <w:rFonts w:hint="eastAsia" w:ascii="宋体" w:hAnsi="宋体" w:cs="宋体"/>
          <w:sz w:val="24"/>
        </w:rPr>
        <w:t>。</w:t>
      </w:r>
    </w:p>
    <w:p>
      <w:pPr>
        <w:spacing w:line="360" w:lineRule="auto"/>
        <w:ind w:firstLine="480"/>
        <w:rPr>
          <w:rFonts w:ascii="宋体" w:hAnsi="宋体" w:cs="宋体"/>
          <w:sz w:val="24"/>
        </w:rPr>
      </w:pPr>
      <w:r>
        <w:rPr>
          <w:rFonts w:ascii="宋体" w:hAnsi="宋体" w:cs="宋体"/>
          <w:sz w:val="24"/>
        </w:rPr>
        <w:t>⑴系统设计规范和技术要求严格执行国家及行业相关标准、规范。</w:t>
      </w:r>
    </w:p>
    <w:p>
      <w:pPr>
        <w:spacing w:line="360" w:lineRule="auto"/>
        <w:ind w:firstLine="480"/>
        <w:rPr>
          <w:rFonts w:ascii="宋体" w:hAnsi="宋体" w:cs="宋体"/>
          <w:sz w:val="24"/>
        </w:rPr>
      </w:pPr>
      <w:r>
        <w:rPr>
          <w:rFonts w:ascii="宋体" w:hAnsi="宋体" w:cs="宋体"/>
          <w:sz w:val="24"/>
        </w:rPr>
        <w:t>⑵系统能自成网络，独立运行，任一个子系统的故障不应影响其他子系统的正常工作。</w:t>
      </w:r>
    </w:p>
    <w:p>
      <w:pPr>
        <w:spacing w:line="360" w:lineRule="auto"/>
        <w:ind w:firstLine="480"/>
        <w:rPr>
          <w:rFonts w:ascii="宋体" w:hAnsi="宋体" w:cs="宋体"/>
          <w:sz w:val="24"/>
        </w:rPr>
      </w:pPr>
      <w:r>
        <w:rPr>
          <w:rFonts w:ascii="宋体" w:hAnsi="宋体" w:cs="宋体"/>
          <w:sz w:val="24"/>
        </w:rPr>
        <w:t>⑶系统管理软件具有用户密码权限分级设置功能，能够划分操作级别和控制权限。系统重要数据需要进行修改、增删操作时，采用更高级别的安全认证措施。</w:t>
      </w:r>
    </w:p>
    <w:p>
      <w:pPr>
        <w:spacing w:line="360" w:lineRule="auto"/>
        <w:ind w:firstLine="480"/>
        <w:rPr>
          <w:rFonts w:ascii="宋体" w:hAnsi="宋体" w:cs="宋体"/>
          <w:sz w:val="24"/>
        </w:rPr>
      </w:pPr>
      <w:r>
        <w:rPr>
          <w:rFonts w:ascii="宋体" w:hAnsi="宋体" w:cs="宋体"/>
          <w:sz w:val="24"/>
        </w:rPr>
        <w:t>⑷安全防范管理系统应用软件能够自动跟踪、记录任何人员在系统中操作的所有“痕迹”，并且这些“痕迹”是不可篡改的，同时具备快速检索、回放、打印功能。</w:t>
      </w:r>
    </w:p>
    <w:p>
      <w:pPr>
        <w:spacing w:line="360" w:lineRule="auto"/>
        <w:ind w:firstLine="480"/>
        <w:rPr>
          <w:rFonts w:ascii="宋体" w:hAnsi="宋体" w:cs="宋体"/>
          <w:sz w:val="24"/>
        </w:rPr>
      </w:pPr>
      <w:r>
        <w:rPr>
          <w:rFonts w:ascii="宋体" w:hAnsi="宋体" w:cs="宋体"/>
          <w:sz w:val="24"/>
        </w:rPr>
        <w:t>⑸各系统设备时钟必须保持同步，并具有自动校时功能，以保证总系统时间的一致性。系统内设备重新启动或网络中断后重新连通时，能够自动进行时钟同步。</w:t>
      </w:r>
    </w:p>
    <w:p>
      <w:pPr>
        <w:spacing w:line="360" w:lineRule="auto"/>
        <w:ind w:firstLine="480"/>
        <w:rPr>
          <w:rFonts w:ascii="宋体" w:hAnsi="宋体" w:cs="宋体"/>
          <w:sz w:val="24"/>
        </w:rPr>
      </w:pPr>
      <w:r>
        <w:rPr>
          <w:rFonts w:ascii="宋体" w:hAnsi="宋体" w:cs="宋体"/>
          <w:sz w:val="24"/>
        </w:rPr>
        <w:t>⑹系统前端设备与技术（包括性能指标）的选用，应根据防护区域或部位的现场情况和重要程度确定，按照均衡布防的原则，建立点、线、面、空间或组合的综合防护系统。</w:t>
      </w:r>
    </w:p>
    <w:p>
      <w:pPr>
        <w:spacing w:line="360" w:lineRule="auto"/>
        <w:ind w:firstLine="480"/>
        <w:rPr>
          <w:rFonts w:ascii="宋体" w:hAnsi="宋体" w:cs="宋体"/>
          <w:sz w:val="24"/>
        </w:rPr>
      </w:pPr>
      <w:r>
        <w:rPr>
          <w:rFonts w:ascii="宋体" w:hAnsi="宋体" w:cs="宋体"/>
          <w:sz w:val="24"/>
        </w:rPr>
        <w:t>⑺为满足高质量视频监控管理的需求，系统图像数字化、传输、存储、管理应构建在高质量的安防专网之上，采用开放的IP架构、基于全IP软交换技术实现所有业务流的交换分发，实现控制信令与视频交换承载网络相分离，符合下一代网络架构展的趋势。</w:t>
      </w:r>
    </w:p>
    <w:p>
      <w:pPr>
        <w:spacing w:line="360" w:lineRule="auto"/>
        <w:ind w:firstLine="480"/>
        <w:rPr>
          <w:rFonts w:ascii="宋体" w:hAnsi="宋体" w:cs="宋体"/>
          <w:sz w:val="24"/>
        </w:rPr>
      </w:pPr>
      <w:r>
        <w:rPr>
          <w:rFonts w:ascii="宋体" w:hAnsi="宋体" w:cs="宋体"/>
          <w:sz w:val="24"/>
        </w:rPr>
        <w:t>⑻视频监控系统平台通过接口协议实现对入侵报警系统的集成，掌握入侵报警系统设备的运行情况和防区报警信号(包括各防区报警信号、故障信号和各防拆报警)，实现对入侵报警系统的联动。</w:t>
      </w:r>
    </w:p>
    <w:p>
      <w:pPr>
        <w:spacing w:line="360" w:lineRule="auto"/>
        <w:ind w:firstLine="480"/>
        <w:rPr>
          <w:rFonts w:ascii="宋体" w:hAnsi="宋体" w:cs="宋体"/>
          <w:sz w:val="24"/>
        </w:rPr>
      </w:pPr>
      <w:r>
        <w:rPr>
          <w:rFonts w:ascii="宋体" w:hAnsi="宋体" w:cs="宋体"/>
          <w:sz w:val="24"/>
        </w:rPr>
        <w:t>⑼安防视频监控主要设备必须支持GB/T 28181-2011标准，系统维保的须遵循DB33/T 2134-2014等标准。</w:t>
      </w:r>
    </w:p>
    <w:p>
      <w:pPr>
        <w:spacing w:line="360" w:lineRule="auto"/>
        <w:ind w:firstLine="480"/>
        <w:rPr>
          <w:rFonts w:ascii="宋体" w:hAnsi="宋体" w:cs="宋体"/>
          <w:sz w:val="24"/>
        </w:rPr>
      </w:pPr>
      <w:r>
        <w:rPr>
          <w:rFonts w:ascii="宋体" w:hAnsi="宋体" w:cs="宋体"/>
          <w:sz w:val="24"/>
        </w:rPr>
        <w:t>⑽实现一键式呼叫，能方便快捷、有效解决监控中心、机房、轿厢、轿顶、坑底五方对讲通话。</w:t>
      </w:r>
    </w:p>
    <w:p>
      <w:pPr>
        <w:spacing w:line="360" w:lineRule="auto"/>
        <w:ind w:firstLine="480" w:firstLineChars="200"/>
        <w:jc w:val="left"/>
        <w:rPr>
          <w:rFonts w:ascii="宋体" w:hAnsi="宋体" w:cs="宋体"/>
          <w:sz w:val="24"/>
        </w:rPr>
      </w:pPr>
      <w:r>
        <w:rPr>
          <w:rFonts w:hint="eastAsia" w:ascii="宋体" w:hAnsi="宋体" w:cs="宋体"/>
          <w:sz w:val="24"/>
        </w:rPr>
        <w:t>本项目安全防范系统将是一个有机结合“人防、物防、技防”三防合一的真正意义上智能化的安全技术防范系统。视频监控系统是安防系统中不可缺少的一个重要组成部分，它不仅可以对监控部位进行全天24小时不间断实时监控。视频安防监控系统需采用全数字型的建设模式，摄像机选用网络摄像机，传输网络在智能化专网中设置，满足视频监控系统的全局看、控、存、管、用的业务需求，系统接入监控系统监控信号，通过视频解码设备将视频图像解码到拼接大屏。</w:t>
      </w:r>
    </w:p>
    <w:p>
      <w:pPr>
        <w:spacing w:line="360" w:lineRule="auto"/>
        <w:ind w:firstLine="480" w:firstLineChars="200"/>
        <w:jc w:val="left"/>
        <w:rPr>
          <w:rFonts w:ascii="宋体" w:hAnsi="宋体" w:cs="宋体"/>
          <w:sz w:val="24"/>
        </w:rPr>
      </w:pPr>
      <w:r>
        <w:rPr>
          <w:rFonts w:hint="eastAsia" w:ascii="宋体" w:hAnsi="宋体" w:cs="宋体"/>
          <w:sz w:val="24"/>
        </w:rPr>
        <w:t>前端部分：主要有摄像机及其附件（支架、防护罩）</w:t>
      </w:r>
    </w:p>
    <w:p>
      <w:pPr>
        <w:spacing w:line="360" w:lineRule="auto"/>
        <w:ind w:firstLine="480" w:firstLineChars="200"/>
        <w:jc w:val="left"/>
        <w:rPr>
          <w:rFonts w:ascii="宋体" w:hAnsi="宋体" w:cs="宋体"/>
          <w:sz w:val="24"/>
        </w:rPr>
      </w:pPr>
      <w:r>
        <w:rPr>
          <w:rFonts w:hint="eastAsia" w:ascii="宋体" w:hAnsi="宋体" w:cs="宋体"/>
          <w:sz w:val="24"/>
        </w:rPr>
        <w:t>传输部分：六类非屏蔽双绞</w:t>
      </w:r>
    </w:p>
    <w:p>
      <w:pPr>
        <w:spacing w:line="360" w:lineRule="auto"/>
        <w:ind w:firstLine="480" w:firstLineChars="200"/>
        <w:jc w:val="left"/>
        <w:rPr>
          <w:rFonts w:ascii="宋体" w:hAnsi="宋体" w:cs="宋体"/>
          <w:sz w:val="24"/>
        </w:rPr>
      </w:pPr>
      <w:r>
        <w:rPr>
          <w:rFonts w:hint="eastAsia" w:ascii="宋体" w:hAnsi="宋体" w:cs="宋体"/>
          <w:sz w:val="24"/>
        </w:rPr>
        <w:t>控制部分：视频联网管理服务器、网络键盘</w:t>
      </w:r>
    </w:p>
    <w:p>
      <w:pPr>
        <w:spacing w:line="360" w:lineRule="auto"/>
        <w:ind w:firstLine="480" w:firstLineChars="200"/>
        <w:jc w:val="left"/>
        <w:rPr>
          <w:rFonts w:ascii="宋体" w:hAnsi="宋体" w:cs="宋体"/>
          <w:sz w:val="24"/>
        </w:rPr>
      </w:pPr>
      <w:r>
        <w:rPr>
          <w:rFonts w:hint="eastAsia" w:ascii="宋体" w:hAnsi="宋体" w:cs="宋体"/>
          <w:sz w:val="24"/>
        </w:rPr>
        <w:t>显示及记录：由6台（2行3列）55寸液晶监视器拼接屏组成的电视墙、存储服务器；</w:t>
      </w:r>
    </w:p>
    <w:p>
      <w:pPr>
        <w:spacing w:line="360" w:lineRule="auto"/>
        <w:ind w:firstLine="420"/>
        <w:rPr>
          <w:rFonts w:ascii="宋体" w:hAnsi="宋体" w:cs="宋体"/>
          <w:sz w:val="24"/>
        </w:rPr>
      </w:pPr>
      <w:r>
        <w:rPr>
          <w:rFonts w:hint="eastAsia" w:ascii="宋体" w:hAnsi="宋体" w:cs="宋体"/>
          <w:sz w:val="24"/>
        </w:rPr>
        <w:t>(</w:t>
      </w:r>
      <w:r>
        <w:rPr>
          <w:rFonts w:hint="eastAsia" w:ascii="宋体" w:hAnsi="宋体" w:cs="Arial"/>
          <w:sz w:val="24"/>
        </w:rPr>
        <w:t>数据的保存时间应满足所有探头24H录像的情况下不小于90天)</w:t>
      </w:r>
    </w:p>
    <w:p>
      <w:pPr>
        <w:spacing w:line="360" w:lineRule="auto"/>
        <w:ind w:firstLine="480" w:firstLineChars="200"/>
        <w:rPr>
          <w:rFonts w:ascii="宋体" w:hAnsi="宋体" w:cs="Arial"/>
          <w:sz w:val="24"/>
        </w:rPr>
      </w:pPr>
      <w:r>
        <w:rPr>
          <w:rFonts w:hint="eastAsia" w:ascii="宋体" w:hAnsi="宋体" w:cs="Arial"/>
          <w:sz w:val="24"/>
        </w:rPr>
        <w:t>应有保障数据安全的措施，在硬盘损坏时不至于使数据丢失，加强夜间的智能化控制，即在重要区域发现异常情况（如人员走动等）应能在控制室发出报警，并在主显屏上自动切换并显示异常区域的图像。</w:t>
      </w:r>
    </w:p>
    <w:p>
      <w:pPr>
        <w:spacing w:line="360" w:lineRule="auto"/>
        <w:ind w:firstLine="480"/>
        <w:rPr>
          <w:rFonts w:ascii="宋体" w:hAnsi="宋体"/>
          <w:sz w:val="24"/>
        </w:rPr>
      </w:pPr>
    </w:p>
    <w:p>
      <w:pPr>
        <w:spacing w:line="360" w:lineRule="auto"/>
        <w:jc w:val="center"/>
        <w:rPr>
          <w:rFonts w:ascii="宋体" w:hAnsi="宋体" w:cs="宋体"/>
          <w:b/>
          <w:bCs/>
          <w:kern w:val="0"/>
          <w:sz w:val="24"/>
        </w:rPr>
      </w:pPr>
      <w:r>
        <w:rPr>
          <w:rFonts w:hint="eastAsia" w:ascii="宋体" w:hAnsi="宋体" w:cs="宋体"/>
          <w:b/>
          <w:bCs/>
          <w:kern w:val="0"/>
          <w:sz w:val="24"/>
        </w:rPr>
        <w:t>安防系统需求清单</w:t>
      </w:r>
    </w:p>
    <w:tbl>
      <w:tblPr>
        <w:tblStyle w:val="24"/>
        <w:tblW w:w="8760" w:type="dxa"/>
        <w:tblInd w:w="113" w:type="dxa"/>
        <w:tblLayout w:type="autofit"/>
        <w:tblCellMar>
          <w:top w:w="0" w:type="dxa"/>
          <w:left w:w="108" w:type="dxa"/>
          <w:bottom w:w="0" w:type="dxa"/>
          <w:right w:w="108" w:type="dxa"/>
        </w:tblCellMar>
      </w:tblPr>
      <w:tblGrid>
        <w:gridCol w:w="520"/>
        <w:gridCol w:w="1116"/>
        <w:gridCol w:w="5700"/>
        <w:gridCol w:w="520"/>
        <w:gridCol w:w="960"/>
      </w:tblGrid>
      <w:tr>
        <w:tblPrEx>
          <w:tblCellMar>
            <w:top w:w="0" w:type="dxa"/>
            <w:left w:w="108" w:type="dxa"/>
            <w:bottom w:w="0" w:type="dxa"/>
            <w:right w:w="108" w:type="dxa"/>
          </w:tblCellMar>
        </w:tblPrEx>
        <w:trPr>
          <w:trHeight w:val="240"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设备名称</w:t>
            </w:r>
          </w:p>
        </w:tc>
        <w:tc>
          <w:tcPr>
            <w:tcW w:w="5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参数</w:t>
            </w:r>
          </w:p>
        </w:tc>
        <w:tc>
          <w:tcPr>
            <w:tcW w:w="5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单位</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数量</w:t>
            </w:r>
          </w:p>
        </w:tc>
      </w:tr>
      <w:tr>
        <w:tblPrEx>
          <w:tblCellMar>
            <w:top w:w="0" w:type="dxa"/>
            <w:left w:w="108" w:type="dxa"/>
            <w:bottom w:w="0" w:type="dxa"/>
            <w:right w:w="108" w:type="dxa"/>
          </w:tblCellMar>
        </w:tblPrEx>
        <w:trPr>
          <w:trHeight w:val="591"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网络枪型摄像机</w:t>
            </w:r>
          </w:p>
        </w:tc>
        <w:tc>
          <w:tcPr>
            <w:tcW w:w="5700" w:type="dxa"/>
            <w:tcBorders>
              <w:top w:val="nil"/>
              <w:left w:val="nil"/>
              <w:bottom w:val="single" w:color="auto" w:sz="4" w:space="0"/>
              <w:right w:val="single" w:color="auto" w:sz="4" w:space="0"/>
            </w:tcBorders>
            <w:shd w:val="clear" w:color="auto" w:fill="auto"/>
            <w:vAlign w:val="center"/>
          </w:tcPr>
          <w:p>
            <w:pPr>
              <w:widowControl/>
              <w:spacing w:after="240"/>
              <w:jc w:val="left"/>
              <w:rPr>
                <w:rFonts w:ascii="宋体" w:hAnsi="宋体" w:cs="宋体"/>
                <w:kern w:val="0"/>
                <w:sz w:val="20"/>
                <w:szCs w:val="20"/>
              </w:rPr>
            </w:pPr>
            <w:r>
              <w:rPr>
                <w:rFonts w:hint="eastAsia" w:ascii="宋体" w:hAnsi="宋体" w:cs="宋体"/>
                <w:kern w:val="0"/>
                <w:sz w:val="20"/>
                <w:szCs w:val="20"/>
              </w:rPr>
              <w:t>200万星光级1/2.7"CMOS智能筒型网络摄像机</w:t>
            </w:r>
            <w:r>
              <w:rPr>
                <w:rFonts w:hint="eastAsia" w:ascii="宋体" w:hAnsi="宋体" w:cs="宋体"/>
                <w:kern w:val="0"/>
                <w:sz w:val="20"/>
                <w:szCs w:val="20"/>
              </w:rPr>
              <w:br w:type="textWrapping"/>
            </w:r>
            <w:r>
              <w:rPr>
                <w:rFonts w:hint="eastAsia" w:ascii="宋体" w:hAnsi="宋体" w:cs="宋体"/>
                <w:kern w:val="0"/>
                <w:sz w:val="20"/>
                <w:szCs w:val="20"/>
              </w:rPr>
              <w:t xml:space="preserve">智能侦测:采用深度学习硬件及算法,提供精准的人车分类侦测,支持越界侦测,区域入侵侦测,进入/离开区域侦测。 </w:t>
            </w:r>
            <w:r>
              <w:rPr>
                <w:rFonts w:hint="eastAsia" w:ascii="宋体" w:hAnsi="宋体" w:cs="宋体"/>
                <w:kern w:val="0"/>
                <w:sz w:val="20"/>
                <w:szCs w:val="20"/>
              </w:rPr>
              <w:br w:type="textWrapping"/>
            </w:r>
            <w:r>
              <w:rPr>
                <w:rFonts w:hint="eastAsia" w:ascii="宋体" w:hAnsi="宋体" w:cs="宋体"/>
                <w:kern w:val="0"/>
                <w:sz w:val="20"/>
                <w:szCs w:val="20"/>
              </w:rPr>
              <w:t>支持联动白光报警</w:t>
            </w:r>
            <w:r>
              <w:rPr>
                <w:rFonts w:hint="eastAsia" w:ascii="宋体" w:hAnsi="宋体" w:cs="宋体"/>
                <w:kern w:val="0"/>
                <w:sz w:val="20"/>
                <w:szCs w:val="20"/>
              </w:rPr>
              <w:br w:type="textWrapping"/>
            </w:r>
            <w:r>
              <w:rPr>
                <w:rFonts w:hint="eastAsia" w:ascii="宋体" w:hAnsi="宋体" w:cs="宋体"/>
                <w:kern w:val="0"/>
                <w:sz w:val="20"/>
                <w:szCs w:val="20"/>
              </w:rPr>
              <w:t>支持联动声音报警</w:t>
            </w:r>
            <w:r>
              <w:rPr>
                <w:rFonts w:hint="eastAsia" w:ascii="宋体" w:hAnsi="宋体" w:cs="宋体"/>
                <w:kern w:val="0"/>
                <w:sz w:val="20"/>
                <w:szCs w:val="20"/>
              </w:rPr>
              <w:br w:type="textWrapping"/>
            </w:r>
            <w:r>
              <w:rPr>
                <w:rFonts w:hint="eastAsia" w:ascii="宋体" w:hAnsi="宋体" w:cs="宋体"/>
                <w:kern w:val="0"/>
                <w:sz w:val="20"/>
                <w:szCs w:val="20"/>
              </w:rPr>
              <w:t>最小照度:0.002Lux @(F1.2,AGC ON) ,0 Lux with IR</w:t>
            </w:r>
            <w:r>
              <w:rPr>
                <w:rFonts w:hint="eastAsia" w:ascii="宋体" w:hAnsi="宋体" w:cs="宋体"/>
                <w:kern w:val="0"/>
                <w:sz w:val="20"/>
                <w:szCs w:val="20"/>
              </w:rPr>
              <w:br w:type="textWrapping"/>
            </w:r>
            <w:r>
              <w:rPr>
                <w:rFonts w:hint="eastAsia" w:ascii="宋体" w:hAnsi="宋体" w:cs="宋体"/>
                <w:kern w:val="0"/>
                <w:sz w:val="20"/>
                <w:szCs w:val="20"/>
              </w:rPr>
              <w:t>镜头:4mm, 水平视场角81.9°[6mm(50.8°),8mm(38.7°),12mm(24.2°)可选]</w:t>
            </w:r>
            <w:r>
              <w:rPr>
                <w:rFonts w:hint="eastAsia" w:ascii="宋体" w:hAnsi="宋体" w:cs="宋体"/>
                <w:kern w:val="0"/>
                <w:sz w:val="20"/>
                <w:szCs w:val="20"/>
              </w:rPr>
              <w:br w:type="textWrapping"/>
            </w:r>
            <w:r>
              <w:rPr>
                <w:rFonts w:hint="eastAsia" w:ascii="宋体" w:hAnsi="宋体" w:cs="宋体"/>
                <w:kern w:val="0"/>
                <w:sz w:val="20"/>
                <w:szCs w:val="20"/>
              </w:rPr>
              <w:t>宽动态范围:120dB</w:t>
            </w:r>
            <w:r>
              <w:rPr>
                <w:rFonts w:hint="eastAsia" w:ascii="宋体" w:hAnsi="宋体" w:cs="宋体"/>
                <w:kern w:val="0"/>
                <w:sz w:val="20"/>
                <w:szCs w:val="20"/>
              </w:rPr>
              <w:br w:type="textWrapping"/>
            </w:r>
            <w:r>
              <w:rPr>
                <w:rFonts w:hint="eastAsia" w:ascii="宋体" w:hAnsi="宋体" w:cs="宋体"/>
                <w:kern w:val="0"/>
                <w:sz w:val="20"/>
                <w:szCs w:val="20"/>
              </w:rPr>
              <w:t>视频压缩标准:H.265/H.264/ MJPEG</w:t>
            </w:r>
            <w:r>
              <w:rPr>
                <w:rFonts w:hint="eastAsia" w:ascii="宋体" w:hAnsi="宋体" w:cs="宋体"/>
                <w:kern w:val="0"/>
                <w:sz w:val="20"/>
                <w:szCs w:val="20"/>
              </w:rPr>
              <w:br w:type="textWrapping"/>
            </w:r>
            <w:r>
              <w:rPr>
                <w:rFonts w:hint="eastAsia" w:ascii="宋体" w:hAnsi="宋体" w:cs="宋体"/>
                <w:kern w:val="0"/>
                <w:sz w:val="20"/>
                <w:szCs w:val="20"/>
              </w:rPr>
              <w:t>最大图像尺寸:1920 × 1080</w:t>
            </w:r>
            <w:r>
              <w:rPr>
                <w:rFonts w:hint="eastAsia" w:ascii="宋体" w:hAnsi="宋体" w:cs="宋体"/>
                <w:kern w:val="0"/>
                <w:sz w:val="20"/>
                <w:szCs w:val="20"/>
              </w:rPr>
              <w:br w:type="textWrapping"/>
            </w:r>
            <w:r>
              <w:rPr>
                <w:rFonts w:hint="eastAsia" w:ascii="宋体" w:hAnsi="宋体" w:cs="宋体"/>
                <w:kern w:val="0"/>
                <w:sz w:val="20"/>
                <w:szCs w:val="20"/>
              </w:rPr>
              <w:t>存储功能:支持Micro SD(即TF卡)/Micro SDHC/Micro SDXC卡((128GB或者256GB)断网本地存储及断网续传,NAS(NFS,SMB/CIFS均支持),配合海康黑卡支持SD卡加密及SD状态检测功能</w:t>
            </w:r>
            <w:r>
              <w:rPr>
                <w:rFonts w:hint="eastAsia" w:ascii="宋体" w:hAnsi="宋体" w:cs="宋体"/>
                <w:kern w:val="0"/>
                <w:sz w:val="20"/>
                <w:szCs w:val="20"/>
              </w:rPr>
              <w:br w:type="textWrapping"/>
            </w:r>
            <w:r>
              <w:rPr>
                <w:rFonts w:hint="eastAsia" w:ascii="宋体" w:hAnsi="宋体" w:cs="宋体"/>
                <w:kern w:val="0"/>
                <w:sz w:val="20"/>
                <w:szCs w:val="20"/>
              </w:rPr>
              <w:t>通讯接口:1个RJ45 10M / 100M 自适应以太网口</w:t>
            </w:r>
            <w:r>
              <w:rPr>
                <w:rFonts w:hint="eastAsia" w:ascii="宋体" w:hAnsi="宋体" w:cs="宋体"/>
                <w:kern w:val="0"/>
                <w:sz w:val="20"/>
                <w:szCs w:val="20"/>
              </w:rPr>
              <w:br w:type="textWrapping"/>
            </w:r>
            <w:r>
              <w:rPr>
                <w:rFonts w:hint="eastAsia" w:ascii="宋体" w:hAnsi="宋体" w:cs="宋体"/>
                <w:kern w:val="0"/>
                <w:sz w:val="20"/>
                <w:szCs w:val="20"/>
              </w:rPr>
              <w:t>音频接口:内置麦克风和扬声器</w:t>
            </w:r>
            <w:r>
              <w:rPr>
                <w:rFonts w:hint="eastAsia" w:ascii="宋体" w:hAnsi="宋体" w:cs="宋体"/>
                <w:kern w:val="0"/>
                <w:sz w:val="20"/>
                <w:szCs w:val="20"/>
              </w:rPr>
              <w:br w:type="textWrapping"/>
            </w:r>
            <w:r>
              <w:rPr>
                <w:rFonts w:hint="eastAsia" w:ascii="宋体" w:hAnsi="宋体" w:cs="宋体"/>
                <w:kern w:val="0"/>
                <w:sz w:val="20"/>
                <w:szCs w:val="20"/>
              </w:rPr>
              <w:t>音频接口:1对音频输入(Line in)/输出（Line out）外部接口</w:t>
            </w:r>
            <w:r>
              <w:rPr>
                <w:rFonts w:hint="eastAsia" w:ascii="宋体" w:hAnsi="宋体" w:cs="宋体"/>
                <w:kern w:val="0"/>
                <w:sz w:val="20"/>
                <w:szCs w:val="20"/>
              </w:rPr>
              <w:br w:type="textWrapping"/>
            </w:r>
            <w:r>
              <w:rPr>
                <w:rFonts w:hint="eastAsia" w:ascii="宋体" w:hAnsi="宋体" w:cs="宋体"/>
                <w:kern w:val="0"/>
                <w:sz w:val="20"/>
                <w:szCs w:val="20"/>
              </w:rPr>
              <w:t>报警输入:1路</w:t>
            </w:r>
            <w:r>
              <w:rPr>
                <w:rFonts w:hint="eastAsia" w:ascii="宋体" w:hAnsi="宋体" w:cs="宋体"/>
                <w:kern w:val="0"/>
                <w:sz w:val="20"/>
                <w:szCs w:val="20"/>
              </w:rPr>
              <w:br w:type="textWrapping"/>
            </w:r>
            <w:r>
              <w:rPr>
                <w:rFonts w:hint="eastAsia" w:ascii="宋体" w:hAnsi="宋体" w:cs="宋体"/>
                <w:kern w:val="0"/>
                <w:sz w:val="20"/>
                <w:szCs w:val="20"/>
              </w:rPr>
              <w:t>报警输出:1路(报警输出最大支持DC24V/AC24V 1A)</w:t>
            </w:r>
            <w:r>
              <w:rPr>
                <w:rFonts w:hint="eastAsia" w:ascii="宋体" w:hAnsi="宋体" w:cs="宋体"/>
                <w:kern w:val="0"/>
                <w:sz w:val="20"/>
                <w:szCs w:val="20"/>
              </w:rPr>
              <w:br w:type="textWrapping"/>
            </w:r>
            <w:r>
              <w:rPr>
                <w:rFonts w:hint="eastAsia" w:ascii="宋体" w:hAnsi="宋体" w:cs="宋体"/>
                <w:kern w:val="0"/>
                <w:sz w:val="20"/>
                <w:szCs w:val="20"/>
              </w:rPr>
              <w:t>电源输出:支持两线式DC12V 100mA电源输出</w:t>
            </w:r>
            <w:r>
              <w:rPr>
                <w:rFonts w:hint="eastAsia" w:ascii="宋体" w:hAnsi="宋体" w:cs="宋体"/>
                <w:kern w:val="0"/>
                <w:sz w:val="20"/>
                <w:szCs w:val="20"/>
              </w:rPr>
              <w:br w:type="textWrapping"/>
            </w:r>
            <w:r>
              <w:rPr>
                <w:rFonts w:hint="eastAsia" w:ascii="宋体" w:hAnsi="宋体" w:cs="宋体"/>
                <w:kern w:val="0"/>
                <w:sz w:val="20"/>
                <w:szCs w:val="20"/>
              </w:rPr>
              <w:t>工作温度和湿度:-30℃~60℃,湿度小于95%(无凝结)</w:t>
            </w:r>
            <w:r>
              <w:rPr>
                <w:rFonts w:hint="eastAsia" w:ascii="宋体" w:hAnsi="宋体" w:cs="宋体"/>
                <w:kern w:val="0"/>
                <w:sz w:val="20"/>
                <w:szCs w:val="20"/>
              </w:rPr>
              <w:br w:type="textWrapping"/>
            </w:r>
            <w:r>
              <w:rPr>
                <w:rFonts w:hint="eastAsia" w:ascii="宋体" w:hAnsi="宋体" w:cs="宋体"/>
                <w:kern w:val="0"/>
                <w:sz w:val="20"/>
                <w:szCs w:val="20"/>
              </w:rPr>
              <w:t>电源供应:DC12V±25% / PoE(802.3af)</w:t>
            </w:r>
            <w:r>
              <w:rPr>
                <w:rFonts w:hint="eastAsia" w:ascii="宋体" w:hAnsi="宋体" w:cs="宋体"/>
                <w:kern w:val="0"/>
                <w:sz w:val="20"/>
                <w:szCs w:val="20"/>
              </w:rPr>
              <w:br w:type="textWrapping"/>
            </w:r>
            <w:r>
              <w:rPr>
                <w:rFonts w:hint="eastAsia" w:ascii="宋体" w:hAnsi="宋体" w:cs="宋体"/>
                <w:kern w:val="0"/>
                <w:sz w:val="20"/>
                <w:szCs w:val="20"/>
              </w:rPr>
              <w:t>电源接口类型:Φ5.5mm圆头电源接口</w:t>
            </w:r>
            <w:r>
              <w:rPr>
                <w:rFonts w:hint="eastAsia" w:ascii="宋体" w:hAnsi="宋体" w:cs="宋体"/>
                <w:kern w:val="0"/>
                <w:sz w:val="20"/>
                <w:szCs w:val="20"/>
              </w:rPr>
              <w:br w:type="textWrapping"/>
            </w:r>
            <w:r>
              <w:rPr>
                <w:rFonts w:hint="eastAsia" w:ascii="宋体" w:hAnsi="宋体" w:cs="宋体"/>
                <w:kern w:val="0"/>
                <w:sz w:val="20"/>
                <w:szCs w:val="20"/>
              </w:rPr>
              <w:t>功耗:DC12V:9W Max; PoE:10.5W Max</w:t>
            </w:r>
            <w:r>
              <w:rPr>
                <w:rFonts w:hint="eastAsia" w:ascii="宋体" w:hAnsi="宋体" w:cs="宋体"/>
                <w:kern w:val="0"/>
                <w:sz w:val="20"/>
                <w:szCs w:val="20"/>
              </w:rPr>
              <w:br w:type="textWrapping"/>
            </w:r>
            <w:r>
              <w:rPr>
                <w:rFonts w:hint="eastAsia" w:ascii="宋体" w:hAnsi="宋体" w:cs="宋体"/>
                <w:kern w:val="0"/>
                <w:sz w:val="20"/>
                <w:szCs w:val="20"/>
              </w:rPr>
              <w:t>红外照射距离:最远可达50米</w:t>
            </w:r>
            <w:r>
              <w:rPr>
                <w:rFonts w:hint="eastAsia" w:ascii="宋体" w:hAnsi="宋体" w:cs="宋体"/>
                <w:kern w:val="0"/>
                <w:sz w:val="20"/>
                <w:szCs w:val="20"/>
              </w:rPr>
              <w:br w:type="textWrapping"/>
            </w:r>
            <w:r>
              <w:rPr>
                <w:rFonts w:hint="eastAsia" w:ascii="宋体" w:hAnsi="宋体" w:cs="宋体"/>
                <w:kern w:val="0"/>
                <w:sz w:val="20"/>
                <w:szCs w:val="20"/>
              </w:rPr>
              <w:t>防护等级:IP67</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r>
      <w:tr>
        <w:tblPrEx>
          <w:tblCellMar>
            <w:top w:w="0" w:type="dxa"/>
            <w:left w:w="108" w:type="dxa"/>
            <w:bottom w:w="0" w:type="dxa"/>
            <w:right w:w="108" w:type="dxa"/>
          </w:tblCellMar>
        </w:tblPrEx>
        <w:trPr>
          <w:trHeight w:val="456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网络半球摄像机</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200万星光级1/2.7”CMOS ICR日夜型半球型网络摄像机;</w:t>
            </w:r>
            <w:r>
              <w:rPr>
                <w:rFonts w:hint="eastAsia" w:ascii="宋体" w:hAnsi="宋体" w:cs="宋体"/>
                <w:kern w:val="0"/>
                <w:sz w:val="20"/>
                <w:szCs w:val="20"/>
              </w:rPr>
              <w:br w:type="textWrapping"/>
            </w:r>
            <w:r>
              <w:rPr>
                <w:rFonts w:hint="eastAsia" w:ascii="宋体" w:hAnsi="宋体" w:cs="宋体"/>
                <w:kern w:val="0"/>
                <w:sz w:val="20"/>
                <w:szCs w:val="20"/>
              </w:rPr>
              <w:t>最小照度 0.002 Lux @(F1.2,AGC ON), 0 Lux with IR;</w:t>
            </w:r>
            <w:r>
              <w:rPr>
                <w:rFonts w:hint="eastAsia" w:ascii="宋体" w:hAnsi="宋体" w:cs="宋体"/>
                <w:kern w:val="0"/>
                <w:sz w:val="20"/>
                <w:szCs w:val="20"/>
              </w:rPr>
              <w:br w:type="textWrapping"/>
            </w:r>
            <w:r>
              <w:rPr>
                <w:rFonts w:hint="eastAsia" w:ascii="宋体" w:hAnsi="宋体" w:cs="宋体"/>
                <w:kern w:val="0"/>
                <w:sz w:val="20"/>
                <w:szCs w:val="20"/>
              </w:rPr>
              <w:t>快门 1/3秒至1/100,000秒;</w:t>
            </w:r>
            <w:r>
              <w:rPr>
                <w:rFonts w:hint="eastAsia" w:ascii="宋体" w:hAnsi="宋体" w:cs="宋体"/>
                <w:kern w:val="0"/>
                <w:sz w:val="20"/>
                <w:szCs w:val="20"/>
              </w:rPr>
              <w:br w:type="textWrapping"/>
            </w:r>
            <w:r>
              <w:rPr>
                <w:rFonts w:hint="eastAsia" w:ascii="宋体" w:hAnsi="宋体" w:cs="宋体"/>
                <w:kern w:val="0"/>
                <w:sz w:val="20"/>
                <w:szCs w:val="20"/>
              </w:rPr>
              <w:t>镜头2.8mm, 水平视场角: 113.5°(4mm、6mm、8mm可选);</w:t>
            </w:r>
            <w:r>
              <w:rPr>
                <w:rFonts w:hint="eastAsia" w:ascii="宋体" w:hAnsi="宋体" w:cs="宋体"/>
                <w:kern w:val="0"/>
                <w:sz w:val="20"/>
                <w:szCs w:val="20"/>
              </w:rPr>
              <w:br w:type="textWrapping"/>
            </w:r>
            <w:r>
              <w:rPr>
                <w:rFonts w:hint="eastAsia" w:ascii="宋体" w:hAnsi="宋体" w:cs="宋体"/>
                <w:kern w:val="0"/>
                <w:sz w:val="20"/>
                <w:szCs w:val="20"/>
              </w:rPr>
              <w:t>调整角度 水平:0°~360°;垂直:0°~ 75°;旋转:0°~360°;</w:t>
            </w:r>
            <w:r>
              <w:rPr>
                <w:rFonts w:hint="eastAsia" w:ascii="宋体" w:hAnsi="宋体" w:cs="宋体"/>
                <w:kern w:val="0"/>
                <w:sz w:val="20"/>
                <w:szCs w:val="20"/>
              </w:rPr>
              <w:br w:type="textWrapping"/>
            </w:r>
            <w:r>
              <w:rPr>
                <w:rFonts w:hint="eastAsia" w:ascii="宋体" w:hAnsi="宋体" w:cs="宋体"/>
                <w:kern w:val="0"/>
                <w:sz w:val="20"/>
                <w:szCs w:val="20"/>
              </w:rPr>
              <w:t>数字降噪 3D数字降噪;</w:t>
            </w:r>
            <w:r>
              <w:rPr>
                <w:rFonts w:hint="eastAsia" w:ascii="宋体" w:hAnsi="宋体" w:cs="宋体"/>
                <w:kern w:val="0"/>
                <w:sz w:val="20"/>
                <w:szCs w:val="20"/>
              </w:rPr>
              <w:br w:type="textWrapping"/>
            </w:r>
            <w:r>
              <w:rPr>
                <w:rFonts w:hint="eastAsia" w:ascii="宋体" w:hAnsi="宋体" w:cs="宋体"/>
                <w:kern w:val="0"/>
                <w:sz w:val="20"/>
                <w:szCs w:val="20"/>
              </w:rPr>
              <w:t>宽动态范围 120dB;</w:t>
            </w:r>
            <w:r>
              <w:rPr>
                <w:rFonts w:hint="eastAsia" w:ascii="宋体" w:hAnsi="宋体" w:cs="宋体"/>
                <w:kern w:val="0"/>
                <w:sz w:val="20"/>
                <w:szCs w:val="20"/>
              </w:rPr>
              <w:br w:type="textWrapping"/>
            </w:r>
            <w:r>
              <w:rPr>
                <w:rFonts w:hint="eastAsia" w:ascii="宋体" w:hAnsi="宋体" w:cs="宋体"/>
                <w:kern w:val="0"/>
                <w:sz w:val="20"/>
                <w:szCs w:val="20"/>
              </w:rPr>
              <w:t>视频压缩标准 H.265 / H.264 / MJPEG;</w:t>
            </w:r>
            <w:r>
              <w:rPr>
                <w:rFonts w:hint="eastAsia" w:ascii="宋体" w:hAnsi="宋体" w:cs="宋体"/>
                <w:kern w:val="0"/>
                <w:sz w:val="20"/>
                <w:szCs w:val="20"/>
              </w:rPr>
              <w:br w:type="textWrapping"/>
            </w:r>
            <w:r>
              <w:rPr>
                <w:rFonts w:hint="eastAsia" w:ascii="宋体" w:hAnsi="宋体" w:cs="宋体"/>
                <w:kern w:val="0"/>
                <w:sz w:val="20"/>
                <w:szCs w:val="20"/>
              </w:rPr>
              <w:t>H.265编码类型 Main Profile;</w:t>
            </w:r>
            <w:r>
              <w:rPr>
                <w:rFonts w:hint="eastAsia" w:ascii="宋体" w:hAnsi="宋体" w:cs="宋体"/>
                <w:kern w:val="0"/>
                <w:sz w:val="20"/>
                <w:szCs w:val="20"/>
              </w:rPr>
              <w:br w:type="textWrapping"/>
            </w:r>
            <w:r>
              <w:rPr>
                <w:rFonts w:hint="eastAsia" w:ascii="宋体" w:hAnsi="宋体" w:cs="宋体"/>
                <w:kern w:val="0"/>
                <w:sz w:val="20"/>
                <w:szCs w:val="20"/>
              </w:rPr>
              <w:t>帧率 50Hz: 25fps (1920 × 1080,1280 × 960,1280 × 720);</w:t>
            </w:r>
            <w:r>
              <w:rPr>
                <w:rFonts w:hint="eastAsia" w:ascii="宋体" w:hAnsi="宋体" w:cs="宋体"/>
                <w:kern w:val="0"/>
                <w:sz w:val="20"/>
                <w:szCs w:val="20"/>
              </w:rPr>
              <w:br w:type="textWrapping"/>
            </w:r>
            <w:r>
              <w:rPr>
                <w:rFonts w:hint="eastAsia" w:ascii="宋体" w:hAnsi="宋体" w:cs="宋体"/>
                <w:kern w:val="0"/>
                <w:sz w:val="20"/>
                <w:szCs w:val="20"/>
              </w:rPr>
              <w:t>感兴趣区域 ROI支持三码流分别设置1个固定区域;</w:t>
            </w:r>
            <w:r>
              <w:rPr>
                <w:rFonts w:hint="eastAsia" w:ascii="宋体" w:hAnsi="宋体" w:cs="宋体"/>
                <w:kern w:val="0"/>
                <w:sz w:val="20"/>
                <w:szCs w:val="20"/>
              </w:rPr>
              <w:br w:type="textWrapping"/>
            </w:r>
            <w:r>
              <w:rPr>
                <w:rFonts w:hint="eastAsia" w:ascii="宋体" w:hAnsi="宋体" w:cs="宋体"/>
                <w:kern w:val="0"/>
                <w:sz w:val="20"/>
                <w:szCs w:val="20"/>
              </w:rPr>
              <w:t>存储功能 NAS(NFS,SMB/CIFS均支持);</w:t>
            </w:r>
            <w:r>
              <w:rPr>
                <w:rFonts w:hint="eastAsia" w:ascii="宋体" w:hAnsi="宋体" w:cs="宋体"/>
                <w:kern w:val="0"/>
                <w:sz w:val="20"/>
                <w:szCs w:val="20"/>
              </w:rPr>
              <w:br w:type="textWrapping"/>
            </w:r>
            <w:r>
              <w:rPr>
                <w:rFonts w:hint="eastAsia" w:ascii="宋体" w:hAnsi="宋体" w:cs="宋体"/>
                <w:kern w:val="0"/>
                <w:sz w:val="20"/>
                <w:szCs w:val="20"/>
              </w:rPr>
              <w:t>智能报警 越界侦测,区域入侵侦测,场景变更侦测,人脸侦测,虚焦侦测,物品遗留侦测,物品拾取侦测,非法停车侦测,人员聚集侦测,徘徊侦测,快速移动侦测,进入区域侦测,离开区域侦测;</w:t>
            </w:r>
            <w:r>
              <w:rPr>
                <w:rFonts w:hint="eastAsia" w:ascii="宋体" w:hAnsi="宋体" w:cs="宋体"/>
                <w:kern w:val="0"/>
                <w:sz w:val="20"/>
                <w:szCs w:val="20"/>
              </w:rPr>
              <w:br w:type="textWrapping"/>
            </w:r>
            <w:r>
              <w:rPr>
                <w:rFonts w:hint="eastAsia" w:ascii="宋体" w:hAnsi="宋体" w:cs="宋体"/>
                <w:kern w:val="0"/>
                <w:sz w:val="20"/>
                <w:szCs w:val="20"/>
              </w:rPr>
              <w:t>工作温度和湿度 -30℃~60℃,湿度小于95%(无凝结);</w:t>
            </w:r>
            <w:r>
              <w:rPr>
                <w:rFonts w:hint="eastAsia" w:ascii="宋体" w:hAnsi="宋体" w:cs="宋体"/>
                <w:kern w:val="0"/>
                <w:sz w:val="20"/>
                <w:szCs w:val="20"/>
              </w:rPr>
              <w:br w:type="textWrapping"/>
            </w:r>
            <w:r>
              <w:rPr>
                <w:rFonts w:hint="eastAsia" w:ascii="宋体" w:hAnsi="宋体" w:cs="宋体"/>
                <w:kern w:val="0"/>
                <w:sz w:val="20"/>
                <w:szCs w:val="20"/>
              </w:rPr>
              <w:t>电源供应 DC12V±25%/ PoE(802.3af);</w:t>
            </w:r>
            <w:r>
              <w:rPr>
                <w:rFonts w:hint="eastAsia" w:ascii="宋体" w:hAnsi="宋体" w:cs="宋体"/>
                <w:kern w:val="0"/>
                <w:sz w:val="20"/>
                <w:szCs w:val="20"/>
              </w:rPr>
              <w:br w:type="textWrapping"/>
            </w:r>
            <w:r>
              <w:rPr>
                <w:rFonts w:hint="eastAsia" w:ascii="宋体" w:hAnsi="宋体" w:cs="宋体"/>
                <w:kern w:val="0"/>
                <w:sz w:val="20"/>
                <w:szCs w:val="20"/>
              </w:rPr>
              <w:t>电源接口类型 圆头电源接口;</w:t>
            </w:r>
            <w:r>
              <w:rPr>
                <w:rFonts w:hint="eastAsia" w:ascii="宋体" w:hAnsi="宋体" w:cs="宋体"/>
                <w:kern w:val="0"/>
                <w:sz w:val="20"/>
                <w:szCs w:val="20"/>
              </w:rPr>
              <w:br w:type="textWrapping"/>
            </w:r>
            <w:r>
              <w:rPr>
                <w:rFonts w:hint="eastAsia" w:ascii="宋体" w:hAnsi="宋体" w:cs="宋体"/>
                <w:kern w:val="0"/>
                <w:sz w:val="20"/>
                <w:szCs w:val="20"/>
              </w:rPr>
              <w:t>功耗 5.5W MAX (ICR切换瞬间7.5W);</w:t>
            </w:r>
            <w:r>
              <w:rPr>
                <w:rFonts w:hint="eastAsia" w:ascii="宋体" w:hAnsi="宋体" w:cs="宋体"/>
                <w:kern w:val="0"/>
                <w:sz w:val="20"/>
                <w:szCs w:val="20"/>
              </w:rPr>
              <w:br w:type="textWrapping"/>
            </w:r>
            <w:r>
              <w:rPr>
                <w:rFonts w:hint="eastAsia" w:ascii="宋体" w:hAnsi="宋体" w:cs="宋体"/>
                <w:kern w:val="0"/>
                <w:sz w:val="20"/>
                <w:szCs w:val="20"/>
              </w:rPr>
              <w:t>红外照射距离 20-30米</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155</w:t>
            </w:r>
          </w:p>
        </w:tc>
      </w:tr>
      <w:tr>
        <w:tblPrEx>
          <w:tblCellMar>
            <w:top w:w="0" w:type="dxa"/>
            <w:left w:w="108" w:type="dxa"/>
            <w:bottom w:w="0" w:type="dxa"/>
            <w:right w:w="108" w:type="dxa"/>
          </w:tblCellMar>
        </w:tblPrEx>
        <w:trPr>
          <w:trHeight w:val="3393"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智能球型摄像机</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支持8个场景下的轮巡人脸抓拍，每个场景的时间可设</w:t>
            </w:r>
            <w:r>
              <w:rPr>
                <w:rFonts w:hint="eastAsia" w:ascii="宋体" w:hAnsi="宋体" w:cs="宋体"/>
                <w:kern w:val="0"/>
                <w:sz w:val="20"/>
                <w:szCs w:val="20"/>
              </w:rPr>
              <w:br w:type="textWrapping"/>
            </w:r>
            <w:r>
              <w:rPr>
                <w:rFonts w:hint="eastAsia" w:ascii="宋体" w:hAnsi="宋体" w:cs="宋体"/>
                <w:kern w:val="0"/>
                <w:sz w:val="20"/>
                <w:szCs w:val="20"/>
              </w:rPr>
              <w:t>smart事件：越界侦测,区域入侵侦测,进入/离开区域侦测,徘徊侦测,人员聚集侦测,快速运动侦测,停车侦测,物品遗留/拿取侦测</w:t>
            </w:r>
            <w:r>
              <w:rPr>
                <w:rFonts w:hint="eastAsia" w:ascii="宋体" w:hAnsi="宋体" w:cs="宋体"/>
                <w:kern w:val="0"/>
                <w:sz w:val="20"/>
                <w:szCs w:val="20"/>
              </w:rPr>
              <w:br w:type="textWrapping"/>
            </w:r>
            <w:r>
              <w:rPr>
                <w:rFonts w:hint="eastAsia" w:ascii="宋体" w:hAnsi="宋体" w:cs="宋体"/>
                <w:kern w:val="0"/>
                <w:sz w:val="20"/>
                <w:szCs w:val="20"/>
              </w:rPr>
              <w:t>图像传感器:1/2.8＂ progressive scan CMOS</w:t>
            </w:r>
            <w:r>
              <w:rPr>
                <w:rFonts w:hint="eastAsia" w:ascii="宋体" w:hAnsi="宋体" w:cs="宋体"/>
                <w:kern w:val="0"/>
                <w:sz w:val="20"/>
                <w:szCs w:val="20"/>
              </w:rPr>
              <w:br w:type="textWrapping"/>
            </w:r>
            <w:r>
              <w:rPr>
                <w:rFonts w:hint="eastAsia" w:ascii="宋体" w:hAnsi="宋体" w:cs="宋体"/>
                <w:kern w:val="0"/>
                <w:sz w:val="20"/>
                <w:szCs w:val="20"/>
              </w:rPr>
              <w:t>最低照度:彩色：0.005Lux @ (F1.6，AGC ON)；黑白：0.001Lux @(F1.6，AGC ON) ；0 Lux with IR</w:t>
            </w:r>
            <w:r>
              <w:rPr>
                <w:rFonts w:hint="eastAsia" w:ascii="宋体" w:hAnsi="宋体" w:cs="宋体"/>
                <w:kern w:val="0"/>
                <w:sz w:val="20"/>
                <w:szCs w:val="20"/>
              </w:rPr>
              <w:br w:type="textWrapping"/>
            </w:r>
            <w:r>
              <w:rPr>
                <w:rFonts w:hint="eastAsia" w:ascii="宋体" w:hAnsi="宋体" w:cs="宋体"/>
                <w:kern w:val="0"/>
                <w:sz w:val="20"/>
                <w:szCs w:val="20"/>
              </w:rPr>
              <w:t>分辨率及帧率:主码流 50Hz: 25fps(1920×1080)  ;60Hz: 30fps(1920×1080)</w:t>
            </w:r>
            <w:r>
              <w:rPr>
                <w:rFonts w:hint="eastAsia" w:ascii="宋体" w:hAnsi="宋体" w:cs="宋体"/>
                <w:kern w:val="0"/>
                <w:sz w:val="20"/>
                <w:szCs w:val="20"/>
              </w:rPr>
              <w:br w:type="textWrapping"/>
            </w:r>
            <w:r>
              <w:rPr>
                <w:rFonts w:hint="eastAsia" w:ascii="宋体" w:hAnsi="宋体" w:cs="宋体"/>
                <w:kern w:val="0"/>
                <w:sz w:val="20"/>
                <w:szCs w:val="20"/>
              </w:rPr>
              <w:t>视频压缩:H.265/H.264/MJPEG</w:t>
            </w:r>
            <w:r>
              <w:rPr>
                <w:rFonts w:hint="eastAsia" w:ascii="宋体" w:hAnsi="宋体" w:cs="宋体"/>
                <w:kern w:val="0"/>
                <w:sz w:val="20"/>
                <w:szCs w:val="20"/>
              </w:rPr>
              <w:br w:type="textWrapping"/>
            </w:r>
            <w:r>
              <w:rPr>
                <w:rFonts w:hint="eastAsia" w:ascii="宋体" w:hAnsi="宋体" w:cs="宋体"/>
                <w:kern w:val="0"/>
                <w:sz w:val="20"/>
                <w:szCs w:val="20"/>
              </w:rPr>
              <w:t>红外照射距离:150米</w:t>
            </w:r>
            <w:r>
              <w:rPr>
                <w:rFonts w:hint="eastAsia" w:ascii="宋体" w:hAnsi="宋体" w:cs="宋体"/>
                <w:kern w:val="0"/>
                <w:sz w:val="20"/>
                <w:szCs w:val="20"/>
              </w:rPr>
              <w:br w:type="textWrapping"/>
            </w:r>
            <w:r>
              <w:rPr>
                <w:rFonts w:hint="eastAsia" w:ascii="宋体" w:hAnsi="宋体" w:cs="宋体"/>
                <w:kern w:val="0"/>
                <w:sz w:val="20"/>
                <w:szCs w:val="20"/>
              </w:rPr>
              <w:t>焦距:4.8-110mm，23倍光学</w:t>
            </w:r>
            <w:r>
              <w:rPr>
                <w:rFonts w:hint="eastAsia" w:ascii="宋体" w:hAnsi="宋体" w:cs="宋体"/>
                <w:kern w:val="0"/>
                <w:sz w:val="20"/>
                <w:szCs w:val="20"/>
              </w:rPr>
              <w:br w:type="textWrapping"/>
            </w:r>
            <w:r>
              <w:rPr>
                <w:rFonts w:hint="eastAsia" w:ascii="宋体" w:hAnsi="宋体" w:cs="宋体"/>
                <w:kern w:val="0"/>
                <w:sz w:val="20"/>
                <w:szCs w:val="20"/>
              </w:rPr>
              <w:t>水平视角:57.6-2.7度(广角-望远)</w:t>
            </w:r>
            <w:r>
              <w:rPr>
                <w:rFonts w:hint="eastAsia" w:ascii="宋体" w:hAnsi="宋体" w:cs="宋体"/>
                <w:kern w:val="0"/>
                <w:sz w:val="20"/>
                <w:szCs w:val="20"/>
              </w:rPr>
              <w:br w:type="textWrapping"/>
            </w:r>
            <w:r>
              <w:rPr>
                <w:rFonts w:hint="eastAsia" w:ascii="宋体" w:hAnsi="宋体" w:cs="宋体"/>
                <w:kern w:val="0"/>
                <w:sz w:val="20"/>
                <w:szCs w:val="20"/>
              </w:rPr>
              <w:t>Smart图像增强:120dB超宽动态、透雾、强光抑制、电子防抖、Smart IR</w:t>
            </w:r>
            <w:r>
              <w:rPr>
                <w:rFonts w:hint="eastAsia" w:ascii="宋体" w:hAnsi="宋体" w:cs="宋体"/>
                <w:kern w:val="0"/>
                <w:sz w:val="20"/>
                <w:szCs w:val="20"/>
              </w:rPr>
              <w:br w:type="textWrapping"/>
            </w:r>
            <w:r>
              <w:rPr>
                <w:rFonts w:hint="eastAsia" w:ascii="宋体" w:hAnsi="宋体" w:cs="宋体"/>
                <w:kern w:val="0"/>
                <w:sz w:val="20"/>
                <w:szCs w:val="20"/>
              </w:rPr>
              <w:t>水平及垂直范围:水平360°；垂直-15°-90°</w:t>
            </w:r>
            <w:r>
              <w:rPr>
                <w:rFonts w:hint="eastAsia" w:ascii="宋体" w:hAnsi="宋体" w:cs="宋体"/>
                <w:kern w:val="0"/>
                <w:sz w:val="20"/>
                <w:szCs w:val="20"/>
              </w:rPr>
              <w:br w:type="textWrapping"/>
            </w:r>
            <w:r>
              <w:rPr>
                <w:rFonts w:hint="eastAsia" w:ascii="宋体" w:hAnsi="宋体" w:cs="宋体"/>
                <w:kern w:val="0"/>
                <w:sz w:val="20"/>
                <w:szCs w:val="20"/>
              </w:rPr>
              <w:t>水平速度:水平键控速度：0.1°-160°/s,速度可设;水平预置点速度：240°/s</w:t>
            </w:r>
            <w:r>
              <w:rPr>
                <w:rFonts w:hint="eastAsia" w:ascii="宋体" w:hAnsi="宋体" w:cs="宋体"/>
                <w:kern w:val="0"/>
                <w:sz w:val="20"/>
                <w:szCs w:val="20"/>
              </w:rPr>
              <w:br w:type="textWrapping"/>
            </w:r>
            <w:r>
              <w:rPr>
                <w:rFonts w:hint="eastAsia" w:ascii="宋体" w:hAnsi="宋体" w:cs="宋体"/>
                <w:kern w:val="0"/>
                <w:sz w:val="20"/>
                <w:szCs w:val="20"/>
              </w:rPr>
              <w:t>垂直速度:垂直键控速度：0.1°-120°/s,速度可设;垂直预置点速度：200°/s</w:t>
            </w:r>
            <w:r>
              <w:rPr>
                <w:rFonts w:hint="eastAsia" w:ascii="宋体" w:hAnsi="宋体" w:cs="宋体"/>
                <w:kern w:val="0"/>
                <w:sz w:val="20"/>
                <w:szCs w:val="20"/>
              </w:rPr>
              <w:br w:type="textWrapping"/>
            </w:r>
            <w:r>
              <w:rPr>
                <w:rFonts w:hint="eastAsia" w:ascii="宋体" w:hAnsi="宋体" w:cs="宋体"/>
                <w:kern w:val="0"/>
                <w:sz w:val="20"/>
                <w:szCs w:val="20"/>
              </w:rPr>
              <w:t>电源接口:AC24V</w:t>
            </w:r>
            <w:r>
              <w:rPr>
                <w:rFonts w:hint="eastAsia" w:ascii="宋体" w:hAnsi="宋体" w:cs="宋体"/>
                <w:kern w:val="0"/>
                <w:sz w:val="20"/>
                <w:szCs w:val="20"/>
              </w:rPr>
              <w:br w:type="textWrapping"/>
            </w:r>
            <w:r>
              <w:rPr>
                <w:rFonts w:hint="eastAsia" w:ascii="宋体" w:hAnsi="宋体" w:cs="宋体"/>
                <w:kern w:val="0"/>
                <w:sz w:val="20"/>
                <w:szCs w:val="20"/>
              </w:rPr>
              <w:t>网络接口:RJ45网口，自适应10M/100M网络数据</w:t>
            </w:r>
            <w:r>
              <w:rPr>
                <w:rFonts w:hint="eastAsia" w:ascii="宋体" w:hAnsi="宋体" w:cs="宋体"/>
                <w:kern w:val="0"/>
                <w:sz w:val="20"/>
                <w:szCs w:val="20"/>
              </w:rPr>
              <w:br w:type="textWrapping"/>
            </w:r>
            <w:r>
              <w:rPr>
                <w:rFonts w:hint="eastAsia" w:ascii="宋体" w:hAnsi="宋体" w:cs="宋体"/>
                <w:kern w:val="0"/>
                <w:sz w:val="20"/>
                <w:szCs w:val="20"/>
              </w:rPr>
              <w:t>音频输入/输出:1路音频输入；1路音频输出</w:t>
            </w:r>
            <w:r>
              <w:rPr>
                <w:rFonts w:hint="eastAsia" w:ascii="宋体" w:hAnsi="宋体" w:cs="宋体"/>
                <w:kern w:val="0"/>
                <w:sz w:val="20"/>
                <w:szCs w:val="20"/>
              </w:rPr>
              <w:br w:type="textWrapping"/>
            </w:r>
            <w:r>
              <w:rPr>
                <w:rFonts w:hint="eastAsia" w:ascii="宋体" w:hAnsi="宋体" w:cs="宋体"/>
                <w:kern w:val="0"/>
                <w:sz w:val="20"/>
                <w:szCs w:val="20"/>
              </w:rPr>
              <w:t>报警输入/输出:2路报警输入；1路报警输出</w:t>
            </w:r>
            <w:r>
              <w:rPr>
                <w:rFonts w:hint="eastAsia" w:ascii="宋体" w:hAnsi="宋体" w:cs="宋体"/>
                <w:kern w:val="0"/>
                <w:sz w:val="20"/>
                <w:szCs w:val="20"/>
              </w:rPr>
              <w:br w:type="textWrapping"/>
            </w:r>
            <w:r>
              <w:rPr>
                <w:rFonts w:hint="eastAsia" w:ascii="宋体" w:hAnsi="宋体" w:cs="宋体"/>
                <w:kern w:val="0"/>
                <w:sz w:val="20"/>
                <w:szCs w:val="20"/>
              </w:rPr>
              <w:t>SD卡接口:内置Micro SD卡插槽，支持Micro SD(即TF卡)/Micro SDHC/Micro SDXC卡（最大支持256G）；内置EMMC存储，支持人脸断点续传</w:t>
            </w:r>
            <w:r>
              <w:rPr>
                <w:rFonts w:hint="eastAsia" w:ascii="宋体" w:hAnsi="宋体" w:cs="宋体"/>
                <w:kern w:val="0"/>
                <w:sz w:val="20"/>
                <w:szCs w:val="20"/>
              </w:rPr>
              <w:br w:type="textWrapping"/>
            </w:r>
            <w:r>
              <w:rPr>
                <w:rFonts w:hint="eastAsia" w:ascii="宋体" w:hAnsi="宋体" w:cs="宋体"/>
                <w:kern w:val="0"/>
                <w:sz w:val="20"/>
                <w:szCs w:val="20"/>
              </w:rPr>
              <w:t>功耗:40W max（其中红外灯15W max）</w:t>
            </w:r>
            <w:r>
              <w:rPr>
                <w:rFonts w:hint="eastAsia" w:ascii="宋体" w:hAnsi="宋体" w:cs="宋体"/>
                <w:kern w:val="0"/>
                <w:sz w:val="20"/>
                <w:szCs w:val="20"/>
              </w:rPr>
              <w:br w:type="textWrapping"/>
            </w:r>
            <w:r>
              <w:rPr>
                <w:rFonts w:hint="eastAsia" w:ascii="宋体" w:hAnsi="宋体" w:cs="宋体"/>
                <w:kern w:val="0"/>
                <w:sz w:val="20"/>
                <w:szCs w:val="20"/>
              </w:rPr>
              <w:t>工作温度和湿度:-30℃-65℃；湿度小于90%</w:t>
            </w:r>
            <w:r>
              <w:rPr>
                <w:rFonts w:hint="eastAsia" w:ascii="宋体" w:hAnsi="宋体" w:cs="宋体"/>
                <w:kern w:val="0"/>
                <w:sz w:val="20"/>
                <w:szCs w:val="20"/>
              </w:rPr>
              <w:br w:type="textWrapping"/>
            </w:r>
            <w:r>
              <w:rPr>
                <w:rFonts w:hint="eastAsia" w:ascii="宋体" w:hAnsi="宋体" w:cs="宋体"/>
                <w:kern w:val="0"/>
                <w:sz w:val="20"/>
                <w:szCs w:val="20"/>
              </w:rPr>
              <w:t>防护等级:IP66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150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电梯摄像机</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200万1/2.7” CMOS日夜型迷你半球型网络摄像机</w:t>
            </w:r>
            <w:r>
              <w:rPr>
                <w:rFonts w:hint="eastAsia" w:ascii="宋体" w:hAnsi="宋体" w:cs="宋体"/>
                <w:kern w:val="0"/>
                <w:sz w:val="20"/>
                <w:szCs w:val="20"/>
              </w:rPr>
              <w:br w:type="textWrapping"/>
            </w:r>
            <w:r>
              <w:rPr>
                <w:rFonts w:hint="eastAsia" w:ascii="宋体" w:hAnsi="宋体" w:cs="宋体"/>
                <w:kern w:val="0"/>
                <w:sz w:val="20"/>
                <w:szCs w:val="20"/>
              </w:rPr>
              <w:t>自带专用传感器,支持电梯楼层信息叠加</w:t>
            </w:r>
            <w:r>
              <w:rPr>
                <w:rFonts w:hint="eastAsia" w:ascii="宋体" w:hAnsi="宋体" w:cs="宋体"/>
                <w:kern w:val="0"/>
                <w:sz w:val="20"/>
                <w:szCs w:val="20"/>
              </w:rPr>
              <w:br w:type="textWrapping"/>
            </w:r>
            <w:r>
              <w:rPr>
                <w:rFonts w:hint="eastAsia" w:ascii="宋体" w:hAnsi="宋体" w:cs="宋体"/>
                <w:kern w:val="0"/>
                <w:sz w:val="20"/>
                <w:szCs w:val="20"/>
              </w:rPr>
              <w:t>最低照度:彩色:0.01 Lux @ (F1.2, AGC ON),0 Lux with IR</w:t>
            </w:r>
            <w:r>
              <w:rPr>
                <w:rFonts w:hint="eastAsia" w:ascii="宋体" w:hAnsi="宋体" w:cs="宋体"/>
                <w:kern w:val="0"/>
                <w:sz w:val="20"/>
                <w:szCs w:val="20"/>
              </w:rPr>
              <w:br w:type="textWrapping"/>
            </w:r>
            <w:r>
              <w:rPr>
                <w:rFonts w:hint="eastAsia" w:ascii="宋体" w:hAnsi="宋体" w:cs="宋体"/>
                <w:kern w:val="0"/>
                <w:sz w:val="20"/>
                <w:szCs w:val="20"/>
              </w:rPr>
              <w:t>镜头:2.8 mm@ F1.6, 水平视场角:114.8°,垂直视场角:62.1°,对角线视场角:135.6°</w:t>
            </w:r>
            <w:r>
              <w:rPr>
                <w:rFonts w:hint="eastAsia" w:ascii="宋体" w:hAnsi="宋体" w:cs="宋体"/>
                <w:kern w:val="0"/>
                <w:sz w:val="20"/>
                <w:szCs w:val="20"/>
              </w:rPr>
              <w:br w:type="textWrapping"/>
            </w:r>
            <w:r>
              <w:rPr>
                <w:rFonts w:hint="eastAsia" w:ascii="宋体" w:hAnsi="宋体" w:cs="宋体"/>
                <w:kern w:val="0"/>
                <w:sz w:val="20"/>
                <w:szCs w:val="20"/>
              </w:rPr>
              <w:t>调整角度:水平-15~15°,垂直0~75°,旋转0-360°</w:t>
            </w:r>
            <w:r>
              <w:rPr>
                <w:rFonts w:hint="eastAsia" w:ascii="宋体" w:hAnsi="宋体" w:cs="宋体"/>
                <w:kern w:val="0"/>
                <w:sz w:val="20"/>
                <w:szCs w:val="20"/>
              </w:rPr>
              <w:br w:type="textWrapping"/>
            </w:r>
            <w:r>
              <w:rPr>
                <w:rFonts w:hint="eastAsia" w:ascii="宋体" w:hAnsi="宋体" w:cs="宋体"/>
                <w:kern w:val="0"/>
                <w:sz w:val="20"/>
                <w:szCs w:val="20"/>
              </w:rPr>
              <w:t>宽动态范围:105dB数字宽动态</w:t>
            </w:r>
            <w:r>
              <w:rPr>
                <w:rFonts w:hint="eastAsia" w:ascii="宋体" w:hAnsi="宋体" w:cs="宋体"/>
                <w:kern w:val="0"/>
                <w:sz w:val="20"/>
                <w:szCs w:val="20"/>
              </w:rPr>
              <w:br w:type="textWrapping"/>
            </w:r>
            <w:r>
              <w:rPr>
                <w:rFonts w:hint="eastAsia" w:ascii="宋体" w:hAnsi="宋体" w:cs="宋体"/>
                <w:kern w:val="0"/>
                <w:sz w:val="20"/>
                <w:szCs w:val="20"/>
              </w:rPr>
              <w:t>视频压缩标准:H.264/H.265/MJPEG</w:t>
            </w:r>
            <w:r>
              <w:rPr>
                <w:rFonts w:hint="eastAsia" w:ascii="宋体" w:hAnsi="宋体" w:cs="宋体"/>
                <w:kern w:val="0"/>
                <w:sz w:val="20"/>
                <w:szCs w:val="20"/>
              </w:rPr>
              <w:br w:type="textWrapping"/>
            </w:r>
            <w:r>
              <w:rPr>
                <w:rFonts w:hint="eastAsia" w:ascii="宋体" w:hAnsi="宋体" w:cs="宋体"/>
                <w:kern w:val="0"/>
                <w:sz w:val="20"/>
                <w:szCs w:val="20"/>
              </w:rPr>
              <w:t>最大图像尺寸:1920 × 1080</w:t>
            </w:r>
            <w:r>
              <w:rPr>
                <w:rFonts w:hint="eastAsia" w:ascii="宋体" w:hAnsi="宋体" w:cs="宋体"/>
                <w:kern w:val="0"/>
                <w:sz w:val="20"/>
                <w:szCs w:val="20"/>
              </w:rPr>
              <w:br w:type="textWrapping"/>
            </w:r>
            <w:r>
              <w:rPr>
                <w:rFonts w:hint="eastAsia" w:ascii="宋体" w:hAnsi="宋体" w:cs="宋体"/>
                <w:kern w:val="0"/>
                <w:sz w:val="20"/>
                <w:szCs w:val="20"/>
              </w:rPr>
              <w:t>通讯接口:1 个RJ45 10M / 100M 自适应以太网口; 1 个RS-485</w:t>
            </w:r>
            <w:r>
              <w:rPr>
                <w:rFonts w:hint="eastAsia" w:ascii="宋体" w:hAnsi="宋体" w:cs="宋体"/>
                <w:kern w:val="0"/>
                <w:sz w:val="20"/>
                <w:szCs w:val="20"/>
              </w:rPr>
              <w:br w:type="textWrapping"/>
            </w:r>
            <w:r>
              <w:rPr>
                <w:rFonts w:hint="eastAsia" w:ascii="宋体" w:hAnsi="宋体" w:cs="宋体"/>
                <w:kern w:val="0"/>
                <w:sz w:val="20"/>
                <w:szCs w:val="20"/>
              </w:rPr>
              <w:t>工作温度和湿度:-10℃~40℃,湿度小于95%(无凝结)</w:t>
            </w:r>
            <w:r>
              <w:rPr>
                <w:rFonts w:hint="eastAsia" w:ascii="宋体" w:hAnsi="宋体" w:cs="宋体"/>
                <w:kern w:val="0"/>
                <w:sz w:val="20"/>
                <w:szCs w:val="20"/>
              </w:rPr>
              <w:br w:type="textWrapping"/>
            </w:r>
            <w:r>
              <w:rPr>
                <w:rFonts w:hint="eastAsia" w:ascii="宋体" w:hAnsi="宋体" w:cs="宋体"/>
                <w:kern w:val="0"/>
                <w:sz w:val="20"/>
                <w:szCs w:val="20"/>
              </w:rPr>
              <w:t>电源供应:DC:12V±25%(支持防反接保护),POE:802.3af</w:t>
            </w:r>
            <w:r>
              <w:rPr>
                <w:rFonts w:hint="eastAsia" w:ascii="宋体" w:hAnsi="宋体" w:cs="宋体"/>
                <w:kern w:val="0"/>
                <w:sz w:val="20"/>
                <w:szCs w:val="20"/>
              </w:rPr>
              <w:br w:type="textWrapping"/>
            </w:r>
            <w:r>
              <w:rPr>
                <w:rFonts w:hint="eastAsia" w:ascii="宋体" w:hAnsi="宋体" w:cs="宋体"/>
                <w:kern w:val="0"/>
                <w:sz w:val="20"/>
                <w:szCs w:val="20"/>
              </w:rPr>
              <w:t>电源接口类型:Φ5.5mm 圆口</w:t>
            </w:r>
            <w:r>
              <w:rPr>
                <w:rFonts w:hint="eastAsia" w:ascii="宋体" w:hAnsi="宋体" w:cs="宋体"/>
                <w:kern w:val="0"/>
                <w:sz w:val="20"/>
                <w:szCs w:val="20"/>
              </w:rPr>
              <w:br w:type="textWrapping"/>
            </w:r>
            <w:r>
              <w:rPr>
                <w:rFonts w:hint="eastAsia" w:ascii="宋体" w:hAnsi="宋体" w:cs="宋体"/>
                <w:kern w:val="0"/>
                <w:sz w:val="20"/>
                <w:szCs w:val="20"/>
              </w:rPr>
              <w:t>功耗:DC:Max: 6.0W,PoE:Max:7.5W</w:t>
            </w:r>
            <w:r>
              <w:rPr>
                <w:rFonts w:hint="eastAsia" w:ascii="宋体" w:hAnsi="宋体" w:cs="宋体"/>
                <w:kern w:val="0"/>
                <w:sz w:val="20"/>
                <w:szCs w:val="20"/>
              </w:rPr>
              <w:br w:type="textWrapping"/>
            </w:r>
            <w:r>
              <w:rPr>
                <w:rFonts w:hint="eastAsia" w:ascii="宋体" w:hAnsi="宋体" w:cs="宋体"/>
                <w:kern w:val="0"/>
                <w:sz w:val="20"/>
                <w:szCs w:val="20"/>
              </w:rPr>
              <w:t>电源输出:DC12V 200mA</w:t>
            </w:r>
            <w:r>
              <w:rPr>
                <w:rFonts w:hint="eastAsia" w:ascii="宋体" w:hAnsi="宋体" w:cs="宋体"/>
                <w:kern w:val="0"/>
                <w:sz w:val="20"/>
                <w:szCs w:val="20"/>
              </w:rPr>
              <w:br w:type="textWrapping"/>
            </w:r>
            <w:r>
              <w:rPr>
                <w:rFonts w:hint="eastAsia" w:ascii="宋体" w:hAnsi="宋体" w:cs="宋体"/>
                <w:kern w:val="0"/>
                <w:sz w:val="20"/>
                <w:szCs w:val="20"/>
              </w:rPr>
              <w:t>红外照射距离:3m</w:t>
            </w:r>
            <w:r>
              <w:rPr>
                <w:rFonts w:hint="eastAsia" w:ascii="宋体" w:hAnsi="宋体" w:cs="宋体"/>
                <w:kern w:val="0"/>
                <w:sz w:val="20"/>
                <w:szCs w:val="20"/>
              </w:rPr>
              <w:br w:type="textWrapping"/>
            </w:r>
            <w:r>
              <w:rPr>
                <w:rFonts w:hint="eastAsia" w:ascii="宋体" w:hAnsi="宋体" w:cs="宋体"/>
                <w:kern w:val="0"/>
                <w:sz w:val="20"/>
                <w:szCs w:val="20"/>
              </w:rPr>
              <w:t>防护等级:IP66</w:t>
            </w:r>
            <w:r>
              <w:rPr>
                <w:rFonts w:hint="eastAsia" w:ascii="宋体" w:hAnsi="宋体" w:cs="宋体"/>
                <w:kern w:val="0"/>
                <w:sz w:val="20"/>
                <w:szCs w:val="20"/>
              </w:rPr>
              <w:br w:type="textWrapping"/>
            </w:r>
            <w:r>
              <w:rPr>
                <w:rFonts w:hint="eastAsia" w:ascii="宋体" w:hAnsi="宋体" w:cs="宋体"/>
                <w:kern w:val="0"/>
                <w:sz w:val="20"/>
                <w:szCs w:val="20"/>
              </w:rPr>
              <w:t>防暴等级:IK08</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CellMar>
            <w:top w:w="0" w:type="dxa"/>
            <w:left w:w="108" w:type="dxa"/>
            <w:bottom w:w="0" w:type="dxa"/>
            <w:right w:w="108" w:type="dxa"/>
          </w:tblCellMar>
        </w:tblPrEx>
        <w:trPr>
          <w:trHeight w:val="274"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POE交换机24口</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 ★支持红口保障功能, （提供公安部检验报告扫描件或复印件并加盖原厂公章证明）</w:t>
            </w:r>
            <w:r>
              <w:rPr>
                <w:rFonts w:hint="eastAsia" w:ascii="宋体" w:hAnsi="宋体" w:cs="宋体"/>
                <w:kern w:val="0"/>
                <w:sz w:val="20"/>
                <w:szCs w:val="20"/>
              </w:rPr>
              <w:br w:type="textWrapping"/>
            </w:r>
            <w:r>
              <w:rPr>
                <w:rFonts w:hint="eastAsia" w:ascii="宋体" w:hAnsi="宋体" w:cs="宋体"/>
                <w:kern w:val="0"/>
                <w:sz w:val="20"/>
                <w:szCs w:val="20"/>
              </w:rPr>
              <w:t>2. ★支持数据传输和POE供电的远距离传输≥250m, （提供公安部检验报告扫描件或复印件并加盖原厂公章证明）</w:t>
            </w:r>
            <w:r>
              <w:rPr>
                <w:rFonts w:hint="eastAsia" w:ascii="宋体" w:hAnsi="宋体" w:cs="宋体"/>
                <w:kern w:val="0"/>
                <w:sz w:val="20"/>
                <w:szCs w:val="20"/>
              </w:rPr>
              <w:br w:type="textWrapping"/>
            </w:r>
            <w:r>
              <w:rPr>
                <w:rFonts w:hint="eastAsia" w:ascii="宋体" w:hAnsi="宋体" w:cs="宋体"/>
                <w:kern w:val="0"/>
                <w:sz w:val="20"/>
                <w:szCs w:val="20"/>
              </w:rPr>
              <w:t>3. 支持光口和电口在64-1518字节范围内的不同帧长度线速转发,</w:t>
            </w:r>
            <w:r>
              <w:rPr>
                <w:rFonts w:hint="eastAsia" w:ascii="宋体" w:hAnsi="宋体" w:cs="宋体"/>
                <w:kern w:val="0"/>
                <w:sz w:val="20"/>
                <w:szCs w:val="20"/>
              </w:rPr>
              <w:br w:type="textWrapping"/>
            </w:r>
            <w:r>
              <w:rPr>
                <w:rFonts w:hint="eastAsia" w:ascii="宋体" w:hAnsi="宋体" w:cs="宋体"/>
                <w:kern w:val="0"/>
                <w:sz w:val="20"/>
                <w:szCs w:val="20"/>
              </w:rPr>
              <w:t>4. 支持线-地防浪涌等级≥2KV</w:t>
            </w:r>
            <w:r>
              <w:rPr>
                <w:rFonts w:hint="eastAsia" w:ascii="宋体" w:hAnsi="宋体" w:cs="宋体"/>
                <w:kern w:val="0"/>
                <w:sz w:val="20"/>
                <w:szCs w:val="20"/>
              </w:rPr>
              <w:br w:type="textWrapping"/>
            </w:r>
            <w:r>
              <w:rPr>
                <w:rFonts w:hint="eastAsia" w:ascii="宋体" w:hAnsi="宋体" w:cs="宋体"/>
                <w:kern w:val="0"/>
                <w:sz w:val="20"/>
                <w:szCs w:val="20"/>
              </w:rPr>
              <w:t>5. 支持接触放电≥4KV,支持空气放电≥8KV,</w:t>
            </w:r>
            <w:r>
              <w:rPr>
                <w:rFonts w:hint="eastAsia" w:ascii="宋体" w:hAnsi="宋体" w:cs="宋体"/>
                <w:kern w:val="0"/>
                <w:sz w:val="20"/>
                <w:szCs w:val="20"/>
              </w:rPr>
              <w:br w:type="textWrapping"/>
            </w:r>
            <w:r>
              <w:rPr>
                <w:rFonts w:hint="eastAsia" w:ascii="宋体" w:hAnsi="宋体" w:cs="宋体"/>
                <w:kern w:val="0"/>
                <w:sz w:val="20"/>
                <w:szCs w:val="20"/>
              </w:rPr>
              <w:t>6. 配置：可用百兆POE电口数≥24，千兆光电复用口≥2</w:t>
            </w:r>
            <w:r>
              <w:rPr>
                <w:rFonts w:hint="eastAsia" w:ascii="宋体" w:hAnsi="宋体" w:cs="宋体"/>
                <w:kern w:val="0"/>
                <w:sz w:val="20"/>
                <w:szCs w:val="20"/>
              </w:rPr>
              <w:br w:type="textWrapping"/>
            </w:r>
            <w:r>
              <w:rPr>
                <w:rFonts w:hint="eastAsia" w:ascii="宋体" w:hAnsi="宋体" w:cs="宋体"/>
                <w:kern w:val="0"/>
                <w:sz w:val="20"/>
                <w:szCs w:val="20"/>
              </w:rPr>
              <w:t>7. 支持802.3af/atPoE标准</w:t>
            </w:r>
            <w:r>
              <w:rPr>
                <w:rFonts w:hint="eastAsia" w:ascii="宋体" w:hAnsi="宋体" w:cs="宋体"/>
                <w:kern w:val="0"/>
                <w:sz w:val="20"/>
                <w:szCs w:val="20"/>
              </w:rPr>
              <w:br w:type="textWrapping"/>
            </w:r>
            <w:r>
              <w:rPr>
                <w:rFonts w:hint="eastAsia" w:ascii="宋体" w:hAnsi="宋体" w:cs="宋体"/>
                <w:kern w:val="0"/>
                <w:sz w:val="20"/>
                <w:szCs w:val="20"/>
              </w:rPr>
              <w:t>8. 支持IEEE802.3、IEEE802.3u、IEEE802.3x网络标准</w:t>
            </w:r>
            <w:r>
              <w:rPr>
                <w:rFonts w:hint="eastAsia" w:ascii="宋体" w:hAnsi="宋体" w:cs="宋体"/>
                <w:kern w:val="0"/>
                <w:sz w:val="20"/>
                <w:szCs w:val="20"/>
              </w:rPr>
              <w:br w:type="textWrapping"/>
            </w:r>
            <w:r>
              <w:rPr>
                <w:rFonts w:hint="eastAsia" w:ascii="宋体" w:hAnsi="宋体" w:cs="宋体"/>
                <w:kern w:val="0"/>
                <w:sz w:val="20"/>
                <w:szCs w:val="20"/>
              </w:rPr>
              <w:t>9. 交换方式支持存储转发</w:t>
            </w:r>
            <w:r>
              <w:rPr>
                <w:rFonts w:hint="eastAsia" w:ascii="宋体" w:hAnsi="宋体" w:cs="宋体"/>
                <w:kern w:val="0"/>
                <w:sz w:val="20"/>
                <w:szCs w:val="20"/>
              </w:rPr>
              <w:br w:type="textWrapping"/>
            </w:r>
            <w:r>
              <w:rPr>
                <w:rFonts w:hint="eastAsia" w:ascii="宋体" w:hAnsi="宋体" w:cs="宋体"/>
                <w:kern w:val="0"/>
                <w:sz w:val="20"/>
                <w:szCs w:val="20"/>
              </w:rPr>
              <w:t>10. 交换容量≥8.8Gbps</w:t>
            </w:r>
            <w:r>
              <w:rPr>
                <w:rFonts w:hint="eastAsia" w:ascii="宋体" w:hAnsi="宋体" w:cs="宋体"/>
                <w:kern w:val="0"/>
                <w:sz w:val="20"/>
                <w:szCs w:val="20"/>
              </w:rPr>
              <w:br w:type="textWrapping"/>
            </w:r>
            <w:r>
              <w:rPr>
                <w:rFonts w:hint="eastAsia" w:ascii="宋体" w:hAnsi="宋体" w:cs="宋体"/>
                <w:kern w:val="0"/>
                <w:sz w:val="20"/>
                <w:szCs w:val="20"/>
              </w:rPr>
              <w:t>11. 包转发率≥6.5Mpps</w:t>
            </w:r>
            <w:r>
              <w:rPr>
                <w:rFonts w:hint="eastAsia" w:ascii="宋体" w:hAnsi="宋体" w:cs="宋体"/>
                <w:kern w:val="0"/>
                <w:sz w:val="20"/>
                <w:szCs w:val="20"/>
              </w:rPr>
              <w:br w:type="textWrapping"/>
            </w:r>
            <w:r>
              <w:rPr>
                <w:rFonts w:hint="eastAsia" w:ascii="宋体" w:hAnsi="宋体" w:cs="宋体"/>
                <w:kern w:val="0"/>
                <w:sz w:val="20"/>
                <w:szCs w:val="20"/>
              </w:rPr>
              <w:t>12. 为保证整体系统稳定性，投标产品必须与摄像机、视频综合管理平台为同一品牌</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38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POE交换机16口</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 16口百兆非网管POE交换机</w:t>
            </w:r>
            <w:r>
              <w:rPr>
                <w:rFonts w:hint="eastAsia" w:ascii="宋体" w:hAnsi="宋体" w:cs="宋体"/>
                <w:kern w:val="0"/>
                <w:sz w:val="20"/>
                <w:szCs w:val="20"/>
              </w:rPr>
              <w:br w:type="textWrapping"/>
            </w:r>
            <w:r>
              <w:rPr>
                <w:rFonts w:hint="eastAsia" w:ascii="宋体" w:hAnsi="宋体" w:cs="宋体"/>
                <w:kern w:val="0"/>
                <w:sz w:val="20"/>
                <w:szCs w:val="20"/>
              </w:rPr>
              <w:t>2. 机架式</w:t>
            </w:r>
            <w:r>
              <w:rPr>
                <w:rFonts w:hint="eastAsia" w:ascii="宋体" w:hAnsi="宋体" w:cs="宋体"/>
                <w:kern w:val="0"/>
                <w:sz w:val="20"/>
                <w:szCs w:val="20"/>
              </w:rPr>
              <w:br w:type="textWrapping"/>
            </w:r>
            <w:r>
              <w:rPr>
                <w:rFonts w:hint="eastAsia" w:ascii="宋体" w:hAnsi="宋体" w:cs="宋体"/>
                <w:kern w:val="0"/>
                <w:sz w:val="20"/>
                <w:szCs w:val="20"/>
              </w:rPr>
              <w:t>3. 16个百兆POE电口</w:t>
            </w:r>
            <w:r>
              <w:rPr>
                <w:rFonts w:hint="eastAsia" w:ascii="宋体" w:hAnsi="宋体" w:cs="宋体"/>
                <w:kern w:val="0"/>
                <w:sz w:val="20"/>
                <w:szCs w:val="20"/>
              </w:rPr>
              <w:br w:type="textWrapping"/>
            </w:r>
            <w:r>
              <w:rPr>
                <w:rFonts w:hint="eastAsia" w:ascii="宋体" w:hAnsi="宋体" w:cs="宋体"/>
                <w:kern w:val="0"/>
                <w:sz w:val="20"/>
                <w:szCs w:val="20"/>
              </w:rPr>
              <w:t>4. 2个千兆电口</w:t>
            </w:r>
            <w:r>
              <w:rPr>
                <w:rFonts w:hint="eastAsia" w:ascii="宋体" w:hAnsi="宋体" w:cs="宋体"/>
                <w:kern w:val="0"/>
                <w:sz w:val="20"/>
                <w:szCs w:val="20"/>
              </w:rPr>
              <w:br w:type="textWrapping"/>
            </w:r>
            <w:r>
              <w:rPr>
                <w:rFonts w:hint="eastAsia" w:ascii="宋体" w:hAnsi="宋体" w:cs="宋体"/>
                <w:kern w:val="0"/>
                <w:sz w:val="20"/>
                <w:szCs w:val="20"/>
              </w:rPr>
              <w:t>5. 2个复用的千兆光口</w:t>
            </w:r>
            <w:r>
              <w:rPr>
                <w:rFonts w:hint="eastAsia" w:ascii="宋体" w:hAnsi="宋体" w:cs="宋体"/>
                <w:kern w:val="0"/>
                <w:sz w:val="20"/>
                <w:szCs w:val="20"/>
              </w:rPr>
              <w:br w:type="textWrapping"/>
            </w:r>
            <w:r>
              <w:rPr>
                <w:rFonts w:hint="eastAsia" w:ascii="宋体" w:hAnsi="宋体" w:cs="宋体"/>
                <w:kern w:val="0"/>
                <w:sz w:val="20"/>
                <w:szCs w:val="20"/>
              </w:rPr>
              <w:t>6. 非网管。交换容量7.2Gbps</w:t>
            </w:r>
            <w:r>
              <w:rPr>
                <w:rFonts w:hint="eastAsia" w:ascii="宋体" w:hAnsi="宋体" w:cs="宋体"/>
                <w:kern w:val="0"/>
                <w:sz w:val="20"/>
                <w:szCs w:val="20"/>
              </w:rPr>
              <w:br w:type="textWrapping"/>
            </w:r>
            <w:r>
              <w:rPr>
                <w:rFonts w:hint="eastAsia" w:ascii="宋体" w:hAnsi="宋体" w:cs="宋体"/>
                <w:kern w:val="0"/>
                <w:sz w:val="20"/>
                <w:szCs w:val="20"/>
              </w:rPr>
              <w:t>7. 包转发率5.36Mpps</w:t>
            </w:r>
            <w:r>
              <w:rPr>
                <w:rFonts w:hint="eastAsia" w:ascii="宋体" w:hAnsi="宋体" w:cs="宋体"/>
                <w:kern w:val="0"/>
                <w:sz w:val="20"/>
                <w:szCs w:val="20"/>
              </w:rPr>
              <w:br w:type="textWrapping"/>
            </w:r>
            <w:r>
              <w:rPr>
                <w:rFonts w:hint="eastAsia" w:ascii="宋体" w:hAnsi="宋体" w:cs="宋体"/>
                <w:kern w:val="0"/>
                <w:sz w:val="20"/>
                <w:szCs w:val="20"/>
              </w:rPr>
              <w:t>8. 1U高度</w:t>
            </w:r>
            <w:r>
              <w:rPr>
                <w:rFonts w:hint="eastAsia" w:ascii="宋体" w:hAnsi="宋体" w:cs="宋体"/>
                <w:kern w:val="0"/>
                <w:sz w:val="20"/>
                <w:szCs w:val="20"/>
              </w:rPr>
              <w:br w:type="textWrapping"/>
            </w:r>
            <w:r>
              <w:rPr>
                <w:rFonts w:hint="eastAsia" w:ascii="宋体" w:hAnsi="宋体" w:cs="宋体"/>
                <w:kern w:val="0"/>
                <w:sz w:val="20"/>
                <w:szCs w:val="20"/>
              </w:rPr>
              <w:t>9. 19英寸机架式</w:t>
            </w:r>
            <w:r>
              <w:rPr>
                <w:rFonts w:hint="eastAsia" w:ascii="宋体" w:hAnsi="宋体" w:cs="宋体"/>
                <w:kern w:val="0"/>
                <w:sz w:val="20"/>
                <w:szCs w:val="20"/>
              </w:rPr>
              <w:br w:type="textWrapping"/>
            </w:r>
            <w:r>
              <w:rPr>
                <w:rFonts w:hint="eastAsia" w:ascii="宋体" w:hAnsi="宋体" w:cs="宋体"/>
                <w:kern w:val="0"/>
                <w:sz w:val="20"/>
                <w:szCs w:val="20"/>
              </w:rPr>
              <w:t>10. 工作温度：0℃～40℃</w:t>
            </w:r>
            <w:r>
              <w:rPr>
                <w:rFonts w:hint="eastAsia" w:ascii="宋体" w:hAnsi="宋体" w:cs="宋体"/>
                <w:kern w:val="0"/>
                <w:sz w:val="20"/>
                <w:szCs w:val="20"/>
              </w:rPr>
              <w:br w:type="textWrapping"/>
            </w:r>
            <w:r>
              <w:rPr>
                <w:rFonts w:hint="eastAsia" w:ascii="宋体" w:hAnsi="宋体" w:cs="宋体"/>
                <w:kern w:val="0"/>
                <w:sz w:val="20"/>
                <w:szCs w:val="20"/>
              </w:rPr>
              <w:t>11. 支持220v交流</w:t>
            </w:r>
            <w:r>
              <w:rPr>
                <w:rFonts w:hint="eastAsia" w:ascii="宋体" w:hAnsi="宋体" w:cs="宋体"/>
                <w:kern w:val="0"/>
                <w:sz w:val="20"/>
                <w:szCs w:val="20"/>
              </w:rPr>
              <w:br w:type="textWrapping"/>
            </w:r>
            <w:r>
              <w:rPr>
                <w:rFonts w:hint="eastAsia" w:ascii="宋体" w:hAnsi="宋体" w:cs="宋体"/>
                <w:kern w:val="0"/>
                <w:sz w:val="20"/>
                <w:szCs w:val="20"/>
              </w:rPr>
              <w:t>12. 满负荷功耗250瓦</w:t>
            </w:r>
            <w:r>
              <w:rPr>
                <w:rFonts w:hint="eastAsia" w:ascii="宋体" w:hAnsi="宋体" w:cs="宋体"/>
                <w:kern w:val="0"/>
                <w:sz w:val="20"/>
                <w:szCs w:val="20"/>
              </w:rPr>
              <w:br w:type="textWrapping"/>
            </w:r>
            <w:r>
              <w:rPr>
                <w:rFonts w:hint="eastAsia" w:ascii="宋体" w:hAnsi="宋体" w:cs="宋体"/>
                <w:kern w:val="0"/>
                <w:sz w:val="20"/>
                <w:szCs w:val="20"/>
              </w:rPr>
              <w:t>13. 支持AF</w:t>
            </w:r>
            <w:r>
              <w:rPr>
                <w:rFonts w:hint="eastAsia" w:ascii="宋体" w:hAnsi="宋体" w:cs="宋体"/>
                <w:kern w:val="0"/>
                <w:sz w:val="20"/>
                <w:szCs w:val="20"/>
              </w:rPr>
              <w:br w:type="textWrapping"/>
            </w:r>
            <w:r>
              <w:rPr>
                <w:rFonts w:hint="eastAsia" w:ascii="宋体" w:hAnsi="宋体" w:cs="宋体"/>
                <w:kern w:val="0"/>
                <w:sz w:val="20"/>
                <w:szCs w:val="20"/>
              </w:rPr>
              <w:t>14. AT双标准POE</w:t>
            </w:r>
            <w:r>
              <w:rPr>
                <w:rFonts w:hint="eastAsia" w:ascii="宋体" w:hAnsi="宋体" w:cs="宋体"/>
                <w:kern w:val="0"/>
                <w:sz w:val="20"/>
                <w:szCs w:val="20"/>
              </w:rPr>
              <w:br w:type="textWrapping"/>
            </w:r>
            <w:r>
              <w:rPr>
                <w:rFonts w:hint="eastAsia" w:ascii="宋体" w:hAnsi="宋体" w:cs="宋体"/>
                <w:kern w:val="0"/>
                <w:sz w:val="20"/>
                <w:szCs w:val="20"/>
              </w:rPr>
              <w:t>15. POE功率230瓦；1-8号端口支持视频红口保障技术，POE远距离传输 1-16口</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62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核心交换机</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 48口全千兆三层全网管光电混合交换机</w:t>
            </w:r>
            <w:r>
              <w:rPr>
                <w:rFonts w:hint="eastAsia" w:ascii="宋体" w:hAnsi="宋体" w:cs="宋体"/>
                <w:kern w:val="0"/>
                <w:sz w:val="20"/>
                <w:szCs w:val="20"/>
              </w:rPr>
              <w:br w:type="textWrapping"/>
            </w:r>
            <w:r>
              <w:rPr>
                <w:rFonts w:hint="eastAsia" w:ascii="宋体" w:hAnsi="宋体" w:cs="宋体"/>
                <w:kern w:val="0"/>
                <w:sz w:val="20"/>
                <w:szCs w:val="20"/>
              </w:rPr>
              <w:t>2. 机架式</w:t>
            </w:r>
            <w:r>
              <w:rPr>
                <w:rFonts w:hint="eastAsia" w:ascii="宋体" w:hAnsi="宋体" w:cs="宋体"/>
                <w:kern w:val="0"/>
                <w:sz w:val="20"/>
                <w:szCs w:val="20"/>
              </w:rPr>
              <w:br w:type="textWrapping"/>
            </w:r>
            <w:r>
              <w:rPr>
                <w:rFonts w:hint="eastAsia" w:ascii="宋体" w:hAnsi="宋体" w:cs="宋体"/>
                <w:kern w:val="0"/>
                <w:sz w:val="20"/>
                <w:szCs w:val="20"/>
              </w:rPr>
              <w:t>3. 24个千兆电口</w:t>
            </w:r>
            <w:r>
              <w:rPr>
                <w:rFonts w:hint="eastAsia" w:ascii="宋体" w:hAnsi="宋体" w:cs="宋体"/>
                <w:kern w:val="0"/>
                <w:sz w:val="20"/>
                <w:szCs w:val="20"/>
              </w:rPr>
              <w:br w:type="textWrapping"/>
            </w:r>
            <w:r>
              <w:rPr>
                <w:rFonts w:hint="eastAsia" w:ascii="宋体" w:hAnsi="宋体" w:cs="宋体"/>
                <w:kern w:val="0"/>
                <w:sz w:val="20"/>
                <w:szCs w:val="20"/>
              </w:rPr>
              <w:t>4. 24个千兆光口</w:t>
            </w:r>
            <w:r>
              <w:rPr>
                <w:rFonts w:hint="eastAsia" w:ascii="宋体" w:hAnsi="宋体" w:cs="宋体"/>
                <w:kern w:val="0"/>
                <w:sz w:val="20"/>
                <w:szCs w:val="20"/>
              </w:rPr>
              <w:br w:type="textWrapping"/>
            </w:r>
            <w:r>
              <w:rPr>
                <w:rFonts w:hint="eastAsia" w:ascii="宋体" w:hAnsi="宋体" w:cs="宋体"/>
                <w:kern w:val="0"/>
                <w:sz w:val="20"/>
                <w:szCs w:val="20"/>
              </w:rPr>
              <w:t>5. 8个万兆SFP+光口</w:t>
            </w:r>
            <w:r>
              <w:rPr>
                <w:rFonts w:hint="eastAsia" w:ascii="宋体" w:hAnsi="宋体" w:cs="宋体"/>
                <w:kern w:val="0"/>
                <w:sz w:val="20"/>
                <w:szCs w:val="20"/>
              </w:rPr>
              <w:br w:type="textWrapping"/>
            </w:r>
            <w:r>
              <w:rPr>
                <w:rFonts w:hint="eastAsia" w:ascii="宋体" w:hAnsi="宋体" w:cs="宋体"/>
                <w:kern w:val="0"/>
                <w:sz w:val="20"/>
                <w:szCs w:val="20"/>
              </w:rPr>
              <w:t>6. 支持通过console口管理。交换容量560Gbps</w:t>
            </w:r>
            <w:r>
              <w:rPr>
                <w:rFonts w:hint="eastAsia" w:ascii="宋体" w:hAnsi="宋体" w:cs="宋体"/>
                <w:kern w:val="0"/>
                <w:sz w:val="20"/>
                <w:szCs w:val="20"/>
              </w:rPr>
              <w:br w:type="textWrapping"/>
            </w:r>
            <w:r>
              <w:rPr>
                <w:rFonts w:hint="eastAsia" w:ascii="宋体" w:hAnsi="宋体" w:cs="宋体"/>
                <w:kern w:val="0"/>
                <w:sz w:val="20"/>
                <w:szCs w:val="20"/>
              </w:rPr>
              <w:t>7. 包转发率222Mpps</w:t>
            </w:r>
            <w:r>
              <w:rPr>
                <w:rFonts w:hint="eastAsia" w:ascii="宋体" w:hAnsi="宋体" w:cs="宋体"/>
                <w:kern w:val="0"/>
                <w:sz w:val="20"/>
                <w:szCs w:val="20"/>
              </w:rPr>
              <w:br w:type="textWrapping"/>
            </w:r>
            <w:r>
              <w:rPr>
                <w:rFonts w:hint="eastAsia" w:ascii="宋体" w:hAnsi="宋体" w:cs="宋体"/>
                <w:kern w:val="0"/>
                <w:sz w:val="20"/>
                <w:szCs w:val="20"/>
              </w:rPr>
              <w:t>8. 1U高度</w:t>
            </w:r>
            <w:r>
              <w:rPr>
                <w:rFonts w:hint="eastAsia" w:ascii="宋体" w:hAnsi="宋体" w:cs="宋体"/>
                <w:kern w:val="0"/>
                <w:sz w:val="20"/>
                <w:szCs w:val="20"/>
              </w:rPr>
              <w:br w:type="textWrapping"/>
            </w:r>
            <w:r>
              <w:rPr>
                <w:rFonts w:hint="eastAsia" w:ascii="宋体" w:hAnsi="宋体" w:cs="宋体"/>
                <w:kern w:val="0"/>
                <w:sz w:val="20"/>
                <w:szCs w:val="20"/>
              </w:rPr>
              <w:t>9. 19英寸宽</w:t>
            </w:r>
            <w:r>
              <w:rPr>
                <w:rFonts w:hint="eastAsia" w:ascii="宋体" w:hAnsi="宋体" w:cs="宋体"/>
                <w:kern w:val="0"/>
                <w:sz w:val="20"/>
                <w:szCs w:val="20"/>
              </w:rPr>
              <w:br w:type="textWrapping"/>
            </w:r>
            <w:r>
              <w:rPr>
                <w:rFonts w:hint="eastAsia" w:ascii="宋体" w:hAnsi="宋体" w:cs="宋体"/>
                <w:kern w:val="0"/>
                <w:sz w:val="20"/>
                <w:szCs w:val="20"/>
              </w:rPr>
              <w:t>10. 工作温度：-10～50</w:t>
            </w:r>
            <w:r>
              <w:rPr>
                <w:rFonts w:hint="eastAsia" w:ascii="Arial Unicode MS" w:hAnsi="Arial Unicode MS" w:eastAsia="Arial Unicode MS" w:cs="Arial Unicode MS"/>
                <w:kern w:val="0"/>
                <w:sz w:val="20"/>
                <w:szCs w:val="20"/>
              </w:rPr>
              <w:t>˚</w:t>
            </w:r>
            <w:r>
              <w:rPr>
                <w:rFonts w:hint="eastAsia" w:ascii="宋体" w:hAnsi="宋体" w:cs="宋体"/>
                <w:kern w:val="0"/>
                <w:sz w:val="20"/>
                <w:szCs w:val="20"/>
              </w:rPr>
              <w:t>C</w:t>
            </w:r>
            <w:r>
              <w:rPr>
                <w:rFonts w:hint="eastAsia" w:ascii="宋体" w:hAnsi="宋体" w:cs="宋体"/>
                <w:kern w:val="0"/>
                <w:sz w:val="20"/>
                <w:szCs w:val="20"/>
              </w:rPr>
              <w:br w:type="textWrapping"/>
            </w:r>
            <w:r>
              <w:rPr>
                <w:rFonts w:hint="eastAsia" w:ascii="宋体" w:hAnsi="宋体" w:cs="宋体"/>
                <w:kern w:val="0"/>
                <w:sz w:val="20"/>
                <w:szCs w:val="20"/>
              </w:rPr>
              <w:t>11. 支持220v交流</w:t>
            </w:r>
            <w:r>
              <w:rPr>
                <w:rFonts w:hint="eastAsia" w:ascii="宋体" w:hAnsi="宋体" w:cs="宋体"/>
                <w:kern w:val="0"/>
                <w:sz w:val="20"/>
                <w:szCs w:val="20"/>
              </w:rPr>
              <w:br w:type="textWrapping"/>
            </w:r>
            <w:r>
              <w:rPr>
                <w:rFonts w:hint="eastAsia" w:ascii="宋体" w:hAnsi="宋体" w:cs="宋体"/>
                <w:kern w:val="0"/>
                <w:sz w:val="20"/>
                <w:szCs w:val="20"/>
              </w:rPr>
              <w:t>12. 满负荷功耗90瓦；支持路由</w:t>
            </w:r>
            <w:r>
              <w:rPr>
                <w:rFonts w:hint="eastAsia" w:ascii="宋体" w:hAnsi="宋体" w:cs="宋体"/>
                <w:kern w:val="0"/>
                <w:sz w:val="20"/>
                <w:szCs w:val="20"/>
              </w:rPr>
              <w:br w:type="textWrapping"/>
            </w:r>
            <w:r>
              <w:rPr>
                <w:rFonts w:hint="eastAsia" w:ascii="宋体" w:hAnsi="宋体" w:cs="宋体"/>
                <w:kern w:val="0"/>
                <w:sz w:val="20"/>
                <w:szCs w:val="20"/>
              </w:rPr>
              <w:t>13. IPV6</w:t>
            </w:r>
            <w:r>
              <w:rPr>
                <w:rFonts w:hint="eastAsia" w:ascii="宋体" w:hAnsi="宋体" w:cs="宋体"/>
                <w:kern w:val="0"/>
                <w:sz w:val="20"/>
                <w:szCs w:val="20"/>
              </w:rPr>
              <w:br w:type="textWrapping"/>
            </w:r>
            <w:r>
              <w:rPr>
                <w:rFonts w:hint="eastAsia" w:ascii="宋体" w:hAnsi="宋体" w:cs="宋体"/>
                <w:kern w:val="0"/>
                <w:sz w:val="20"/>
                <w:szCs w:val="20"/>
              </w:rPr>
              <w:t>14. VLAN</w:t>
            </w:r>
            <w:r>
              <w:rPr>
                <w:rFonts w:hint="eastAsia" w:ascii="宋体" w:hAnsi="宋体" w:cs="宋体"/>
                <w:kern w:val="0"/>
                <w:sz w:val="20"/>
                <w:szCs w:val="20"/>
              </w:rPr>
              <w:br w:type="textWrapping"/>
            </w:r>
            <w:r>
              <w:rPr>
                <w:rFonts w:hint="eastAsia" w:ascii="宋体" w:hAnsi="宋体" w:cs="宋体"/>
                <w:kern w:val="0"/>
                <w:sz w:val="20"/>
                <w:szCs w:val="20"/>
              </w:rPr>
              <w:t>15. 流量控制</w:t>
            </w:r>
            <w:r>
              <w:rPr>
                <w:rFonts w:hint="eastAsia" w:ascii="宋体" w:hAnsi="宋体" w:cs="宋体"/>
                <w:kern w:val="0"/>
                <w:sz w:val="20"/>
                <w:szCs w:val="20"/>
              </w:rPr>
              <w:br w:type="textWrapping"/>
            </w:r>
            <w:r>
              <w:rPr>
                <w:rFonts w:hint="eastAsia" w:ascii="宋体" w:hAnsi="宋体" w:cs="宋体"/>
                <w:kern w:val="0"/>
                <w:sz w:val="20"/>
                <w:szCs w:val="20"/>
              </w:rPr>
              <w:t>16. ACL</w:t>
            </w:r>
            <w:r>
              <w:rPr>
                <w:rFonts w:hint="eastAsia" w:ascii="宋体" w:hAnsi="宋体" w:cs="宋体"/>
                <w:kern w:val="0"/>
                <w:sz w:val="20"/>
                <w:szCs w:val="20"/>
              </w:rPr>
              <w:br w:type="textWrapping"/>
            </w:r>
            <w:r>
              <w:rPr>
                <w:rFonts w:hint="eastAsia" w:ascii="宋体" w:hAnsi="宋体" w:cs="宋体"/>
                <w:kern w:val="0"/>
                <w:sz w:val="20"/>
                <w:szCs w:val="20"/>
              </w:rPr>
              <w:t>17. QOS</w:t>
            </w:r>
            <w:r>
              <w:rPr>
                <w:rFonts w:hint="eastAsia" w:ascii="宋体" w:hAnsi="宋体" w:cs="宋体"/>
                <w:kern w:val="0"/>
                <w:sz w:val="20"/>
                <w:szCs w:val="20"/>
              </w:rPr>
              <w:br w:type="textWrapping"/>
            </w:r>
            <w:r>
              <w:rPr>
                <w:rFonts w:hint="eastAsia" w:ascii="宋体" w:hAnsi="宋体" w:cs="宋体"/>
                <w:kern w:val="0"/>
                <w:sz w:val="20"/>
                <w:szCs w:val="20"/>
              </w:rPr>
              <w:t>18. 支持SNMP V1/V2c/V3网管。</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球机支架</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壁装支架/白色/铝合金/尺寸306.3×97.3×182.6mm</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枪机支架</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壁装支架/白/铝合金/尺寸70×97.1×173.4mm</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r>
      <w:tr>
        <w:tblPrEx>
          <w:tblCellMar>
            <w:top w:w="0" w:type="dxa"/>
            <w:left w:w="108" w:type="dxa"/>
            <w:bottom w:w="0" w:type="dxa"/>
            <w:right w:w="108" w:type="dxa"/>
          </w:tblCellMar>
        </w:tblPrEx>
        <w:trPr>
          <w:trHeight w:val="41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无线网桥</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200米电梯专用无线网桥 (单位为套</w:t>
            </w:r>
            <w:r>
              <w:rPr>
                <w:rFonts w:hint="eastAsia" w:ascii="宋体" w:hAnsi="宋体" w:cs="宋体"/>
                <w:kern w:val="0"/>
                <w:sz w:val="20"/>
                <w:szCs w:val="20"/>
              </w:rPr>
              <w:br w:type="textWrapping"/>
            </w:r>
            <w:r>
              <w:rPr>
                <w:rFonts w:hint="eastAsia" w:ascii="宋体" w:hAnsi="宋体" w:cs="宋体"/>
                <w:kern w:val="0"/>
                <w:sz w:val="20"/>
                <w:szCs w:val="20"/>
              </w:rPr>
              <w:t>内含摄像机端和机房端)</w:t>
            </w:r>
            <w:r>
              <w:rPr>
                <w:rFonts w:hint="eastAsia" w:ascii="宋体" w:hAnsi="宋体" w:cs="宋体"/>
                <w:kern w:val="0"/>
                <w:sz w:val="20"/>
                <w:szCs w:val="20"/>
              </w:rPr>
              <w:br w:type="textWrapping"/>
            </w:r>
            <w:r>
              <w:rPr>
                <w:rFonts w:hint="eastAsia" w:ascii="宋体" w:hAnsi="宋体" w:cs="宋体"/>
                <w:kern w:val="0"/>
                <w:sz w:val="20"/>
                <w:szCs w:val="20"/>
              </w:rPr>
              <w:t>黑白配设计</w:t>
            </w:r>
            <w:r>
              <w:rPr>
                <w:rFonts w:hint="eastAsia" w:ascii="宋体" w:hAnsi="宋体" w:cs="宋体"/>
                <w:kern w:val="0"/>
                <w:sz w:val="20"/>
                <w:szCs w:val="20"/>
              </w:rPr>
              <w:br w:type="textWrapping"/>
            </w:r>
            <w:r>
              <w:rPr>
                <w:rFonts w:hint="eastAsia" w:ascii="宋体" w:hAnsi="宋体" w:cs="宋体"/>
                <w:kern w:val="0"/>
                <w:sz w:val="20"/>
                <w:szCs w:val="20"/>
              </w:rPr>
              <w:t>实际有效带宽40Mbps</w:t>
            </w:r>
            <w:r>
              <w:rPr>
                <w:rFonts w:hint="eastAsia" w:ascii="宋体" w:hAnsi="宋体" w:cs="宋体"/>
                <w:kern w:val="0"/>
                <w:sz w:val="20"/>
                <w:szCs w:val="20"/>
              </w:rPr>
              <w:br w:type="textWrapping"/>
            </w:r>
            <w:r>
              <w:rPr>
                <w:rFonts w:hint="eastAsia" w:ascii="宋体" w:hAnsi="宋体" w:cs="宋体"/>
                <w:kern w:val="0"/>
                <w:sz w:val="20"/>
                <w:szCs w:val="20"/>
              </w:rPr>
              <w:t>1个百兆电口</w:t>
            </w:r>
            <w:r>
              <w:rPr>
                <w:rFonts w:hint="eastAsia" w:ascii="宋体" w:hAnsi="宋体" w:cs="宋体"/>
                <w:kern w:val="0"/>
                <w:sz w:val="20"/>
                <w:szCs w:val="20"/>
              </w:rPr>
              <w:br w:type="textWrapping"/>
            </w:r>
            <w:r>
              <w:rPr>
                <w:rFonts w:hint="eastAsia" w:ascii="宋体" w:hAnsi="宋体" w:cs="宋体"/>
                <w:kern w:val="0"/>
                <w:sz w:val="20"/>
                <w:szCs w:val="20"/>
              </w:rPr>
              <w:t>适用于200米</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r>
      <w:tr>
        <w:tblPrEx>
          <w:tblCellMar>
            <w:top w:w="0" w:type="dxa"/>
            <w:left w:w="108" w:type="dxa"/>
            <w:bottom w:w="0" w:type="dxa"/>
            <w:right w:w="108" w:type="dxa"/>
          </w:tblCellMar>
        </w:tblPrEx>
        <w:trPr>
          <w:trHeight w:val="38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NVR</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硬件规格：</w:t>
            </w:r>
            <w:r>
              <w:rPr>
                <w:rFonts w:hint="eastAsia" w:ascii="宋体" w:hAnsi="宋体" w:cs="宋体"/>
                <w:kern w:val="0"/>
                <w:sz w:val="20"/>
                <w:szCs w:val="20"/>
              </w:rPr>
              <w:br w:type="textWrapping"/>
            </w:r>
            <w:r>
              <w:rPr>
                <w:rFonts w:hint="eastAsia" w:ascii="宋体" w:hAnsi="宋体" w:cs="宋体"/>
                <w:kern w:val="0"/>
                <w:sz w:val="20"/>
                <w:szCs w:val="20"/>
              </w:rPr>
              <w:t>3U标准机架式</w:t>
            </w:r>
            <w:r>
              <w:rPr>
                <w:rFonts w:hint="eastAsia" w:ascii="宋体" w:hAnsi="宋体" w:cs="宋体"/>
                <w:kern w:val="0"/>
                <w:sz w:val="20"/>
                <w:szCs w:val="20"/>
              </w:rPr>
              <w:br w:type="textWrapping"/>
            </w:r>
            <w:r>
              <w:rPr>
                <w:rFonts w:hint="eastAsia" w:ascii="宋体" w:hAnsi="宋体" w:cs="宋体"/>
                <w:kern w:val="0"/>
                <w:sz w:val="20"/>
                <w:szCs w:val="20"/>
              </w:rPr>
              <w:t>2个HDMI，2个VGA,HDMI+VGA组内同源</w:t>
            </w:r>
            <w:r>
              <w:rPr>
                <w:rFonts w:hint="eastAsia" w:ascii="宋体" w:hAnsi="宋体" w:cs="宋体"/>
                <w:kern w:val="0"/>
                <w:sz w:val="20"/>
                <w:szCs w:val="20"/>
              </w:rPr>
              <w:br w:type="textWrapping"/>
            </w:r>
            <w:r>
              <w:rPr>
                <w:rFonts w:hint="eastAsia" w:ascii="宋体" w:hAnsi="宋体" w:cs="宋体"/>
                <w:kern w:val="0"/>
                <w:sz w:val="20"/>
                <w:szCs w:val="20"/>
              </w:rPr>
              <w:t xml:space="preserve">64路，16盘位，可满配8T、10T硬盘 </w:t>
            </w:r>
            <w:r>
              <w:rPr>
                <w:rFonts w:hint="eastAsia" w:ascii="宋体" w:hAnsi="宋体" w:cs="宋体"/>
                <w:kern w:val="0"/>
                <w:sz w:val="20"/>
                <w:szCs w:val="20"/>
              </w:rPr>
              <w:br w:type="textWrapping"/>
            </w:r>
            <w:r>
              <w:rPr>
                <w:rFonts w:hint="eastAsia" w:ascii="宋体" w:hAnsi="宋体" w:cs="宋体"/>
                <w:kern w:val="0"/>
                <w:sz w:val="20"/>
                <w:szCs w:val="20"/>
              </w:rPr>
              <w:t>2个千兆网口</w:t>
            </w:r>
            <w:r>
              <w:rPr>
                <w:rFonts w:hint="eastAsia" w:ascii="宋体" w:hAnsi="宋体" w:cs="宋体"/>
                <w:kern w:val="0"/>
                <w:sz w:val="20"/>
                <w:szCs w:val="20"/>
              </w:rPr>
              <w:br w:type="textWrapping"/>
            </w:r>
            <w:r>
              <w:rPr>
                <w:rFonts w:hint="eastAsia" w:ascii="宋体" w:hAnsi="宋体" w:cs="宋体"/>
                <w:kern w:val="0"/>
                <w:sz w:val="20"/>
                <w:szCs w:val="20"/>
              </w:rPr>
              <w:t>2个USB2.0接口、1个USB3.0接口</w:t>
            </w:r>
            <w:r>
              <w:rPr>
                <w:rFonts w:hint="eastAsia" w:ascii="宋体" w:hAnsi="宋体" w:cs="宋体"/>
                <w:kern w:val="0"/>
                <w:sz w:val="20"/>
                <w:szCs w:val="20"/>
              </w:rPr>
              <w:br w:type="textWrapping"/>
            </w:r>
            <w:r>
              <w:rPr>
                <w:rFonts w:hint="eastAsia" w:ascii="宋体" w:hAnsi="宋体" w:cs="宋体"/>
                <w:kern w:val="0"/>
                <w:sz w:val="20"/>
                <w:szCs w:val="20"/>
              </w:rPr>
              <w:t>1个eSATA接口</w:t>
            </w:r>
            <w:r>
              <w:rPr>
                <w:rFonts w:hint="eastAsia" w:ascii="宋体" w:hAnsi="宋体" w:cs="宋体"/>
                <w:kern w:val="0"/>
                <w:sz w:val="20"/>
                <w:szCs w:val="20"/>
              </w:rPr>
              <w:br w:type="textWrapping"/>
            </w:r>
            <w:r>
              <w:rPr>
                <w:rFonts w:hint="eastAsia" w:ascii="宋体" w:hAnsi="宋体" w:cs="宋体"/>
                <w:kern w:val="0"/>
                <w:sz w:val="20"/>
                <w:szCs w:val="20"/>
              </w:rPr>
              <w:t>支持RAID0、1、5、10，支持全局热备盘</w:t>
            </w:r>
            <w:r>
              <w:rPr>
                <w:rFonts w:hint="eastAsia" w:ascii="宋体" w:hAnsi="宋体" w:cs="宋体"/>
                <w:kern w:val="0"/>
                <w:sz w:val="20"/>
                <w:szCs w:val="20"/>
              </w:rPr>
              <w:br w:type="textWrapping"/>
            </w:r>
            <w:r>
              <w:rPr>
                <w:rFonts w:hint="eastAsia" w:ascii="宋体" w:hAnsi="宋体" w:cs="宋体"/>
                <w:kern w:val="0"/>
                <w:sz w:val="20"/>
                <w:szCs w:val="20"/>
              </w:rPr>
              <w:t>软件性能：</w:t>
            </w:r>
            <w:r>
              <w:rPr>
                <w:rFonts w:hint="eastAsia" w:ascii="宋体" w:hAnsi="宋体" w:cs="宋体"/>
                <w:kern w:val="0"/>
                <w:sz w:val="20"/>
                <w:szCs w:val="20"/>
              </w:rPr>
              <w:br w:type="textWrapping"/>
            </w:r>
            <w:r>
              <w:rPr>
                <w:rFonts w:hint="eastAsia" w:ascii="宋体" w:hAnsi="宋体" w:cs="宋体"/>
                <w:kern w:val="0"/>
                <w:sz w:val="20"/>
                <w:szCs w:val="20"/>
              </w:rPr>
              <w:t>输入带宽：256M</w:t>
            </w:r>
            <w:r>
              <w:rPr>
                <w:rFonts w:hint="eastAsia" w:ascii="宋体" w:hAnsi="宋体" w:cs="宋体"/>
                <w:kern w:val="0"/>
                <w:sz w:val="20"/>
                <w:szCs w:val="20"/>
              </w:rPr>
              <w:br w:type="textWrapping"/>
            </w:r>
            <w:r>
              <w:rPr>
                <w:rFonts w:hint="eastAsia" w:ascii="宋体" w:hAnsi="宋体" w:cs="宋体"/>
                <w:kern w:val="0"/>
                <w:sz w:val="20"/>
                <w:szCs w:val="20"/>
              </w:rPr>
              <w:t>16路H.264、H.265混合接入</w:t>
            </w:r>
            <w:r>
              <w:rPr>
                <w:rFonts w:hint="eastAsia" w:ascii="宋体" w:hAnsi="宋体" w:cs="宋体"/>
                <w:kern w:val="0"/>
                <w:sz w:val="20"/>
                <w:szCs w:val="20"/>
              </w:rPr>
              <w:br w:type="textWrapping"/>
            </w:r>
            <w:r>
              <w:rPr>
                <w:rFonts w:hint="eastAsia" w:ascii="宋体" w:hAnsi="宋体" w:cs="宋体"/>
                <w:kern w:val="0"/>
                <w:sz w:val="20"/>
                <w:szCs w:val="20"/>
              </w:rPr>
              <w:t>最大支持16×1080P解码</w:t>
            </w:r>
            <w:r>
              <w:rPr>
                <w:rFonts w:hint="eastAsia" w:ascii="宋体" w:hAnsi="宋体" w:cs="宋体"/>
                <w:kern w:val="0"/>
                <w:sz w:val="20"/>
                <w:szCs w:val="20"/>
              </w:rPr>
              <w:br w:type="textWrapping"/>
            </w:r>
            <w:r>
              <w:rPr>
                <w:rFonts w:hint="eastAsia" w:ascii="宋体" w:hAnsi="宋体" w:cs="宋体"/>
                <w:kern w:val="0"/>
                <w:sz w:val="20"/>
                <w:szCs w:val="20"/>
              </w:rPr>
              <w:t>支持H.265、H.264解码</w:t>
            </w:r>
            <w:r>
              <w:rPr>
                <w:rFonts w:hint="eastAsia" w:ascii="宋体" w:hAnsi="宋体" w:cs="宋体"/>
                <w:kern w:val="0"/>
                <w:sz w:val="20"/>
                <w:szCs w:val="20"/>
              </w:rPr>
              <w:br w:type="textWrapping"/>
            </w:r>
            <w:r>
              <w:rPr>
                <w:rFonts w:hint="eastAsia" w:ascii="宋体" w:hAnsi="宋体" w:cs="宋体"/>
                <w:kern w:val="0"/>
                <w:sz w:val="20"/>
                <w:szCs w:val="20"/>
              </w:rPr>
              <w:t>Smart 2.0/整机热备/ANR/智能检索/智能回放/车牌检索/人脸检索/热度图/客流量统计/分时段回放/超高倍速回放/双系统备份</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硬盘</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10TB，HDD,ST10000VX0004,10TB,7200,3.5",SATA3.0，硬件三年质保</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r>
      <w:tr>
        <w:tblPrEx>
          <w:tblCellMar>
            <w:top w:w="0" w:type="dxa"/>
            <w:left w:w="108" w:type="dxa"/>
            <w:bottom w:w="0" w:type="dxa"/>
            <w:right w:w="108" w:type="dxa"/>
          </w:tblCellMar>
        </w:tblPrEx>
        <w:trPr>
          <w:trHeight w:val="722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解码器</w:t>
            </w:r>
          </w:p>
        </w:tc>
        <w:tc>
          <w:tcPr>
            <w:tcW w:w="570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高清视音频解码器，采用Linux操作系统，运行稳定可靠 </w:t>
            </w:r>
            <w:r>
              <w:rPr>
                <w:rFonts w:hint="eastAsia" w:ascii="宋体" w:hAnsi="宋体" w:cs="宋体"/>
                <w:kern w:val="0"/>
                <w:sz w:val="20"/>
                <w:szCs w:val="20"/>
              </w:rPr>
              <w:br w:type="textWrapping"/>
            </w:r>
            <w:r>
              <w:rPr>
                <w:rFonts w:hint="eastAsia" w:ascii="宋体" w:hAnsi="宋体" w:cs="宋体"/>
                <w:kern w:val="0"/>
                <w:sz w:val="20"/>
                <w:szCs w:val="20"/>
              </w:rPr>
              <w:t>输入接口：支持一路VGA和一路DVI接入 </w:t>
            </w:r>
            <w:r>
              <w:rPr>
                <w:rFonts w:hint="eastAsia" w:ascii="宋体" w:hAnsi="宋体" w:cs="宋体"/>
                <w:kern w:val="0"/>
                <w:sz w:val="20"/>
                <w:szCs w:val="20"/>
              </w:rPr>
              <w:br w:type="textWrapping"/>
            </w:r>
            <w:r>
              <w:rPr>
                <w:rFonts w:hint="eastAsia" w:ascii="宋体" w:hAnsi="宋体" w:cs="宋体"/>
                <w:kern w:val="0"/>
                <w:sz w:val="20"/>
                <w:szCs w:val="20"/>
              </w:rPr>
              <w:t>输出接口：支持8路HDMI和4路BNC输出，HDMI（可以转DVI-D）（奇数口）输出分辨率最高支持4K（3840*2160@30HZ） </w:t>
            </w:r>
            <w:r>
              <w:rPr>
                <w:rFonts w:hint="eastAsia" w:ascii="宋体" w:hAnsi="宋体" w:cs="宋体"/>
                <w:kern w:val="0"/>
                <w:sz w:val="20"/>
                <w:szCs w:val="20"/>
              </w:rPr>
              <w:br w:type="textWrapping"/>
            </w:r>
            <w:r>
              <w:rPr>
                <w:rFonts w:hint="eastAsia" w:ascii="宋体" w:hAnsi="宋体" w:cs="宋体"/>
                <w:kern w:val="0"/>
                <w:sz w:val="20"/>
                <w:szCs w:val="20"/>
              </w:rPr>
              <w:t>编码格式：支持H.265、H.264、MPEG4、MJPEG等主流的编码格式； </w:t>
            </w:r>
            <w:r>
              <w:rPr>
                <w:rFonts w:hint="eastAsia" w:ascii="宋体" w:hAnsi="宋体" w:cs="宋体"/>
                <w:kern w:val="0"/>
                <w:sz w:val="20"/>
                <w:szCs w:val="20"/>
              </w:rPr>
              <w:br w:type="textWrapping"/>
            </w:r>
            <w:r>
              <w:rPr>
                <w:rFonts w:hint="eastAsia" w:ascii="宋体" w:hAnsi="宋体" w:cs="宋体"/>
                <w:kern w:val="0"/>
                <w:sz w:val="20"/>
                <w:szCs w:val="20"/>
              </w:rPr>
              <w:t>封装格式：支持PS、RTP、TS、ES等主流的封装格式； </w:t>
            </w:r>
            <w:r>
              <w:rPr>
                <w:rFonts w:hint="eastAsia" w:ascii="宋体" w:hAnsi="宋体" w:cs="宋体"/>
                <w:kern w:val="0"/>
                <w:sz w:val="20"/>
                <w:szCs w:val="20"/>
              </w:rPr>
              <w:br w:type="textWrapping"/>
            </w:r>
            <w:r>
              <w:rPr>
                <w:rFonts w:hint="eastAsia" w:ascii="宋体" w:hAnsi="宋体" w:cs="宋体"/>
                <w:kern w:val="0"/>
                <w:sz w:val="20"/>
                <w:szCs w:val="20"/>
              </w:rPr>
              <w:t>音频解码：支持G.722、G.711A、G.726、G.711U、MPEG2-L2、AAC音频格式的解码； </w:t>
            </w:r>
            <w:r>
              <w:rPr>
                <w:rFonts w:hint="eastAsia" w:ascii="宋体" w:hAnsi="宋体" w:cs="宋体"/>
                <w:kern w:val="0"/>
                <w:sz w:val="20"/>
                <w:szCs w:val="20"/>
              </w:rPr>
              <w:br w:type="textWrapping"/>
            </w:r>
            <w:r>
              <w:rPr>
                <w:rFonts w:hint="eastAsia" w:ascii="宋体" w:hAnsi="宋体" w:cs="宋体"/>
                <w:kern w:val="0"/>
                <w:sz w:val="20"/>
                <w:szCs w:val="20"/>
              </w:rPr>
              <w:t>解码能力：支持8路1200W，或16路800W，或24路500W，或40路300W，或64路1080P及以下分辨率同时实时解码； </w:t>
            </w:r>
            <w:r>
              <w:rPr>
                <w:rFonts w:hint="eastAsia" w:ascii="宋体" w:hAnsi="宋体" w:cs="宋体"/>
                <w:kern w:val="0"/>
                <w:sz w:val="20"/>
                <w:szCs w:val="20"/>
              </w:rPr>
              <w:br w:type="textWrapping"/>
            </w:r>
            <w:r>
              <w:rPr>
                <w:rFonts w:hint="eastAsia" w:ascii="宋体" w:hAnsi="宋体" w:cs="宋体"/>
                <w:kern w:val="0"/>
                <w:sz w:val="20"/>
                <w:szCs w:val="20"/>
              </w:rPr>
              <w:t>画面分割：支持1、2、4、6、8、9、10、12、16、25、36画面分割显示。 </w:t>
            </w:r>
            <w:r>
              <w:rPr>
                <w:rFonts w:hint="eastAsia" w:ascii="宋体" w:hAnsi="宋体" w:cs="宋体"/>
                <w:kern w:val="0"/>
                <w:sz w:val="20"/>
                <w:szCs w:val="20"/>
              </w:rPr>
              <w:br w:type="textWrapping"/>
            </w:r>
            <w:r>
              <w:rPr>
                <w:rFonts w:hint="eastAsia" w:ascii="宋体" w:hAnsi="宋体" w:cs="宋体"/>
                <w:kern w:val="0"/>
                <w:sz w:val="20"/>
                <w:szCs w:val="20"/>
              </w:rPr>
              <w:t>网络接口：2个RJ45 10M/100M/1000Mbps自适应管理网口 </w:t>
            </w:r>
            <w:r>
              <w:rPr>
                <w:rFonts w:hint="eastAsia" w:ascii="宋体" w:hAnsi="宋体" w:cs="宋体"/>
                <w:kern w:val="0"/>
                <w:sz w:val="20"/>
                <w:szCs w:val="20"/>
              </w:rPr>
              <w:br w:type="textWrapping"/>
            </w:r>
            <w:r>
              <w:rPr>
                <w:rFonts w:hint="eastAsia" w:ascii="宋体" w:hAnsi="宋体" w:cs="宋体"/>
                <w:kern w:val="0"/>
                <w:sz w:val="20"/>
                <w:szCs w:val="20"/>
              </w:rPr>
              <w:t>2个RJ45 10M/100M/1000Mbps自适应以太网接口 </w:t>
            </w:r>
            <w:r>
              <w:rPr>
                <w:rFonts w:hint="eastAsia" w:ascii="宋体" w:hAnsi="宋体" w:cs="宋体"/>
                <w:kern w:val="0"/>
                <w:sz w:val="20"/>
                <w:szCs w:val="20"/>
              </w:rPr>
              <w:br w:type="textWrapping"/>
            </w:r>
            <w:r>
              <w:rPr>
                <w:rFonts w:hint="eastAsia" w:ascii="宋体" w:hAnsi="宋体" w:cs="宋体"/>
                <w:kern w:val="0"/>
                <w:sz w:val="20"/>
                <w:szCs w:val="20"/>
              </w:rPr>
              <w:t>16个RJ45 10M/100M自适应以太网接口 </w:t>
            </w:r>
            <w:r>
              <w:rPr>
                <w:rFonts w:hint="eastAsia" w:ascii="宋体" w:hAnsi="宋体" w:cs="宋体"/>
                <w:kern w:val="0"/>
                <w:sz w:val="20"/>
                <w:szCs w:val="20"/>
              </w:rPr>
              <w:br w:type="textWrapping"/>
            </w:r>
            <w:r>
              <w:rPr>
                <w:rFonts w:hint="eastAsia" w:ascii="宋体" w:hAnsi="宋体" w:cs="宋体"/>
                <w:kern w:val="0"/>
                <w:sz w:val="20"/>
                <w:szCs w:val="20"/>
              </w:rPr>
              <w:t>音频接口：支持8路音频输出，1路对讲输入，1路对讲输出 </w:t>
            </w:r>
            <w:r>
              <w:rPr>
                <w:rFonts w:hint="eastAsia" w:ascii="宋体" w:hAnsi="宋体" w:cs="宋体"/>
                <w:kern w:val="0"/>
                <w:sz w:val="20"/>
                <w:szCs w:val="20"/>
              </w:rPr>
              <w:br w:type="textWrapping"/>
            </w:r>
            <w:r>
              <w:rPr>
                <w:rFonts w:hint="eastAsia" w:ascii="宋体" w:hAnsi="宋体" w:cs="宋体"/>
                <w:kern w:val="0"/>
                <w:sz w:val="20"/>
                <w:szCs w:val="20"/>
              </w:rPr>
              <w:t>串行接口：一个标准232接口（RJ45）、一个标准485接口 </w:t>
            </w:r>
            <w:r>
              <w:rPr>
                <w:rFonts w:hint="eastAsia" w:ascii="宋体" w:hAnsi="宋体" w:cs="宋体"/>
                <w:kern w:val="0"/>
                <w:sz w:val="20"/>
                <w:szCs w:val="20"/>
              </w:rPr>
              <w:br w:type="textWrapping"/>
            </w:r>
            <w:r>
              <w:rPr>
                <w:rFonts w:hint="eastAsia" w:ascii="宋体" w:hAnsi="宋体" w:cs="宋体"/>
                <w:kern w:val="0"/>
                <w:sz w:val="20"/>
                <w:szCs w:val="20"/>
              </w:rPr>
              <w:t>报警接口：8路报警输入，8路报警输出</w:t>
            </w:r>
          </w:p>
        </w:tc>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432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拼接屏</w:t>
            </w:r>
          </w:p>
        </w:tc>
        <w:tc>
          <w:tcPr>
            <w:tcW w:w="5700" w:type="dxa"/>
            <w:tcBorders>
              <w:top w:val="single" w:color="auto" w:sz="4" w:space="0"/>
              <w:left w:val="nil"/>
              <w:bottom w:val="nil"/>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LCD液晶显示单元；</w:t>
            </w:r>
            <w:r>
              <w:rPr>
                <w:rFonts w:hint="eastAsia" w:ascii="宋体" w:hAnsi="宋体" w:cs="宋体"/>
                <w:kern w:val="0"/>
                <w:sz w:val="20"/>
                <w:szCs w:val="20"/>
              </w:rPr>
              <w:br w:type="textWrapping"/>
            </w:r>
            <w:r>
              <w:rPr>
                <w:rFonts w:hint="eastAsia" w:ascii="宋体" w:hAnsi="宋体" w:cs="宋体"/>
                <w:kern w:val="0"/>
                <w:sz w:val="20"/>
                <w:szCs w:val="20"/>
              </w:rPr>
              <w:t>尺寸：55英寸； </w:t>
            </w:r>
            <w:r>
              <w:rPr>
                <w:rFonts w:hint="eastAsia" w:ascii="宋体" w:hAnsi="宋体" w:cs="宋体"/>
                <w:kern w:val="0"/>
                <w:sz w:val="20"/>
                <w:szCs w:val="20"/>
              </w:rPr>
              <w:br w:type="textWrapping"/>
            </w:r>
            <w:r>
              <w:rPr>
                <w:rFonts w:hint="eastAsia" w:ascii="宋体" w:hAnsi="宋体" w:cs="宋体"/>
                <w:kern w:val="0"/>
                <w:sz w:val="20"/>
                <w:szCs w:val="20"/>
              </w:rPr>
              <w:t>分辨率：1920x1080； </w:t>
            </w:r>
            <w:r>
              <w:rPr>
                <w:rFonts w:hint="eastAsia" w:ascii="宋体" w:hAnsi="宋体" w:cs="宋体"/>
                <w:kern w:val="0"/>
                <w:sz w:val="20"/>
                <w:szCs w:val="20"/>
              </w:rPr>
              <w:br w:type="textWrapping"/>
            </w:r>
            <w:r>
              <w:rPr>
                <w:rFonts w:hint="eastAsia" w:ascii="宋体" w:hAnsi="宋体" w:cs="宋体"/>
                <w:kern w:val="0"/>
                <w:sz w:val="20"/>
                <w:szCs w:val="20"/>
              </w:rPr>
              <w:t>视角：178°(水平)/ 178°(垂直)； </w:t>
            </w:r>
            <w:r>
              <w:rPr>
                <w:rFonts w:hint="eastAsia" w:ascii="宋体" w:hAnsi="宋体" w:cs="宋体"/>
                <w:kern w:val="0"/>
                <w:sz w:val="20"/>
                <w:szCs w:val="20"/>
              </w:rPr>
              <w:br w:type="textWrapping"/>
            </w:r>
            <w:r>
              <w:rPr>
                <w:rFonts w:hint="eastAsia" w:ascii="宋体" w:hAnsi="宋体" w:cs="宋体"/>
                <w:kern w:val="0"/>
                <w:sz w:val="20"/>
                <w:szCs w:val="20"/>
              </w:rPr>
              <w:t>响应时间：12ms(G to G)； </w:t>
            </w:r>
            <w:r>
              <w:rPr>
                <w:rFonts w:hint="eastAsia" w:ascii="宋体" w:hAnsi="宋体" w:cs="宋体"/>
                <w:kern w:val="0"/>
                <w:sz w:val="20"/>
                <w:szCs w:val="20"/>
              </w:rPr>
              <w:br w:type="textWrapping"/>
            </w:r>
            <w:r>
              <w:rPr>
                <w:rFonts w:hint="eastAsia" w:ascii="宋体" w:hAnsi="宋体" w:cs="宋体"/>
                <w:kern w:val="0"/>
                <w:sz w:val="20"/>
                <w:szCs w:val="20"/>
              </w:rPr>
              <w:t>对比度：4000:1； </w:t>
            </w:r>
            <w:r>
              <w:rPr>
                <w:rFonts w:hint="eastAsia" w:ascii="宋体" w:hAnsi="宋体" w:cs="宋体"/>
                <w:kern w:val="0"/>
                <w:sz w:val="20"/>
                <w:szCs w:val="20"/>
              </w:rPr>
              <w:br w:type="textWrapping"/>
            </w:r>
            <w:r>
              <w:rPr>
                <w:rFonts w:hint="eastAsia" w:ascii="宋体" w:hAnsi="宋体" w:cs="宋体"/>
                <w:kern w:val="0"/>
                <w:sz w:val="20"/>
                <w:szCs w:val="20"/>
              </w:rPr>
              <w:t>亮度：500cd/㎡； </w:t>
            </w:r>
            <w:r>
              <w:rPr>
                <w:rFonts w:hint="eastAsia" w:ascii="宋体" w:hAnsi="宋体" w:cs="宋体"/>
                <w:kern w:val="0"/>
                <w:sz w:val="20"/>
                <w:szCs w:val="20"/>
              </w:rPr>
              <w:br w:type="textWrapping"/>
            </w:r>
            <w:r>
              <w:rPr>
                <w:rFonts w:hint="eastAsia" w:ascii="宋体" w:hAnsi="宋体" w:cs="宋体"/>
                <w:kern w:val="0"/>
                <w:sz w:val="20"/>
                <w:szCs w:val="20"/>
              </w:rPr>
              <w:t>物理拼缝：3.5mm； </w:t>
            </w:r>
            <w:r>
              <w:rPr>
                <w:rFonts w:hint="eastAsia" w:ascii="宋体" w:hAnsi="宋体" w:cs="宋体"/>
                <w:kern w:val="0"/>
                <w:sz w:val="20"/>
                <w:szCs w:val="20"/>
              </w:rPr>
              <w:br w:type="textWrapping"/>
            </w:r>
            <w:r>
              <w:rPr>
                <w:rFonts w:hint="eastAsia" w:ascii="宋体" w:hAnsi="宋体" w:cs="宋体"/>
                <w:kern w:val="0"/>
                <w:sz w:val="20"/>
                <w:szCs w:val="20"/>
              </w:rPr>
              <w:t>输入接口：VGA×1，DVI×1，BNC×1，YPbPr×1，HDMI×1，USB×1 </w:t>
            </w:r>
            <w:r>
              <w:rPr>
                <w:rFonts w:hint="eastAsia" w:ascii="宋体" w:hAnsi="宋体" w:cs="宋体"/>
                <w:kern w:val="0"/>
                <w:sz w:val="20"/>
                <w:szCs w:val="20"/>
              </w:rPr>
              <w:br w:type="textWrapping"/>
            </w:r>
            <w:r>
              <w:rPr>
                <w:rFonts w:hint="eastAsia" w:ascii="宋体" w:hAnsi="宋体" w:cs="宋体"/>
                <w:kern w:val="0"/>
                <w:sz w:val="20"/>
                <w:szCs w:val="20"/>
              </w:rPr>
              <w:t>输出接口：VGA×1，DVI×1，BNC×2 </w:t>
            </w:r>
            <w:r>
              <w:rPr>
                <w:rFonts w:hint="eastAsia" w:ascii="宋体" w:hAnsi="宋体" w:cs="宋体"/>
                <w:kern w:val="0"/>
                <w:sz w:val="20"/>
                <w:szCs w:val="20"/>
              </w:rPr>
              <w:br w:type="textWrapping"/>
            </w:r>
            <w:r>
              <w:rPr>
                <w:rFonts w:hint="eastAsia" w:ascii="宋体" w:hAnsi="宋体" w:cs="宋体"/>
                <w:kern w:val="0"/>
                <w:sz w:val="20"/>
                <w:szCs w:val="20"/>
              </w:rPr>
              <w:t>控制接口：RJ45 for RS-232（输入×1，输出×2） </w:t>
            </w:r>
            <w:r>
              <w:rPr>
                <w:rFonts w:hint="eastAsia" w:ascii="宋体" w:hAnsi="宋体" w:cs="宋体"/>
                <w:kern w:val="0"/>
                <w:sz w:val="20"/>
                <w:szCs w:val="20"/>
              </w:rPr>
              <w:br w:type="textWrapping"/>
            </w:r>
            <w:r>
              <w:rPr>
                <w:rFonts w:hint="eastAsia" w:ascii="宋体" w:hAnsi="宋体" w:cs="宋体"/>
                <w:kern w:val="0"/>
                <w:sz w:val="20"/>
                <w:szCs w:val="20"/>
              </w:rPr>
              <w:t>可选配接口：3G SDI(输入×1、输出×1)、DP、HDbaseT、TVI(输入×1、输出×1)、网络源； </w:t>
            </w:r>
            <w:r>
              <w:rPr>
                <w:rFonts w:hint="eastAsia" w:ascii="宋体" w:hAnsi="宋体" w:cs="宋体"/>
                <w:kern w:val="0"/>
                <w:sz w:val="20"/>
                <w:szCs w:val="20"/>
              </w:rPr>
              <w:br w:type="textWrapping"/>
            </w:r>
            <w:r>
              <w:rPr>
                <w:rFonts w:hint="eastAsia" w:ascii="宋体" w:hAnsi="宋体" w:cs="宋体"/>
                <w:kern w:val="0"/>
                <w:sz w:val="20"/>
                <w:szCs w:val="20"/>
              </w:rPr>
              <w:t>功耗：≤150W； </w:t>
            </w:r>
            <w:r>
              <w:rPr>
                <w:rFonts w:hint="eastAsia" w:ascii="宋体" w:hAnsi="宋体" w:cs="宋体"/>
                <w:kern w:val="0"/>
                <w:sz w:val="20"/>
                <w:szCs w:val="20"/>
              </w:rPr>
              <w:br w:type="textWrapping"/>
            </w:r>
            <w:r>
              <w:rPr>
                <w:rFonts w:hint="eastAsia" w:ascii="宋体" w:hAnsi="宋体" w:cs="宋体"/>
                <w:kern w:val="0"/>
                <w:sz w:val="20"/>
                <w:szCs w:val="20"/>
              </w:rPr>
              <w:t>电源要求：AC 100-240V～, 50/60Hz； </w:t>
            </w:r>
            <w:r>
              <w:rPr>
                <w:rFonts w:hint="eastAsia" w:ascii="宋体" w:hAnsi="宋体" w:cs="宋体"/>
                <w:kern w:val="0"/>
                <w:sz w:val="20"/>
                <w:szCs w:val="20"/>
              </w:rPr>
              <w:br w:type="textWrapping"/>
            </w:r>
            <w:r>
              <w:rPr>
                <w:rFonts w:hint="eastAsia" w:ascii="宋体" w:hAnsi="宋体" w:cs="宋体"/>
                <w:kern w:val="0"/>
                <w:sz w:val="20"/>
                <w:szCs w:val="20"/>
              </w:rPr>
              <w:t>寿命：≥60000 小时； </w:t>
            </w:r>
            <w:r>
              <w:rPr>
                <w:rFonts w:hint="eastAsia" w:ascii="宋体" w:hAnsi="宋体" w:cs="宋体"/>
                <w:kern w:val="0"/>
                <w:sz w:val="20"/>
                <w:szCs w:val="20"/>
              </w:rPr>
              <w:br w:type="textWrapping"/>
            </w:r>
            <w:r>
              <w:rPr>
                <w:rFonts w:hint="eastAsia" w:ascii="宋体" w:hAnsi="宋体" w:cs="宋体"/>
                <w:kern w:val="0"/>
                <w:sz w:val="20"/>
                <w:szCs w:val="20"/>
              </w:rPr>
              <w:t>工作温度和湿度：0℃--50℃，10%--90%； </w:t>
            </w:r>
            <w:r>
              <w:rPr>
                <w:rFonts w:hint="eastAsia" w:ascii="宋体" w:hAnsi="宋体" w:cs="宋体"/>
                <w:kern w:val="0"/>
                <w:sz w:val="20"/>
                <w:szCs w:val="20"/>
              </w:rPr>
              <w:br w:type="textWrapping"/>
            </w:r>
            <w:r>
              <w:rPr>
                <w:rFonts w:hint="eastAsia" w:ascii="宋体" w:hAnsi="宋体" w:cs="宋体"/>
                <w:kern w:val="0"/>
                <w:sz w:val="20"/>
                <w:szCs w:val="20"/>
              </w:rPr>
              <w:t>外形尺寸：1213.4mm×684.2mm×117mm（长×宽×高）； </w:t>
            </w:r>
            <w:r>
              <w:rPr>
                <w:rFonts w:hint="eastAsia" w:ascii="宋体" w:hAnsi="宋体" w:cs="宋体"/>
                <w:kern w:val="0"/>
                <w:sz w:val="20"/>
                <w:szCs w:val="20"/>
              </w:rPr>
              <w:br w:type="textWrapping"/>
            </w:r>
            <w:r>
              <w:rPr>
                <w:rFonts w:hint="eastAsia" w:ascii="宋体" w:hAnsi="宋体" w:cs="宋体"/>
                <w:kern w:val="0"/>
                <w:sz w:val="20"/>
                <w:szCs w:val="20"/>
              </w:rPr>
              <w:t>边框宽度：2.3mm（左/上）,1.2mm（右/下）；</w:t>
            </w:r>
          </w:p>
        </w:tc>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120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监视器底座</w:t>
            </w:r>
          </w:p>
        </w:tc>
        <w:tc>
          <w:tcPr>
            <w:tcW w:w="57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大屏厂家配套；</w:t>
            </w:r>
            <w:r>
              <w:rPr>
                <w:rFonts w:hint="eastAsia" w:ascii="宋体" w:hAnsi="宋体" w:cs="宋体"/>
                <w:kern w:val="0"/>
                <w:sz w:val="20"/>
                <w:szCs w:val="20"/>
              </w:rPr>
              <w:br w:type="textWrapping"/>
            </w:r>
            <w:r>
              <w:rPr>
                <w:rFonts w:hint="eastAsia" w:ascii="宋体" w:hAnsi="宋体" w:cs="宋体"/>
                <w:kern w:val="0"/>
                <w:sz w:val="20"/>
                <w:szCs w:val="20"/>
              </w:rPr>
              <w:t>支架特点：</w:t>
            </w:r>
            <w:r>
              <w:rPr>
                <w:rFonts w:hint="eastAsia" w:ascii="宋体" w:hAnsi="宋体" w:cs="宋体"/>
                <w:kern w:val="0"/>
                <w:sz w:val="20"/>
                <w:szCs w:val="20"/>
              </w:rPr>
              <w:br w:type="textWrapping"/>
            </w:r>
            <w:r>
              <w:rPr>
                <w:rFonts w:hint="eastAsia" w:ascii="宋体" w:hAnsi="宋体" w:cs="宋体"/>
                <w:kern w:val="0"/>
                <w:sz w:val="20"/>
                <w:szCs w:val="20"/>
              </w:rPr>
              <w:t>1、美观、地脚隐藏</w:t>
            </w:r>
            <w:r>
              <w:rPr>
                <w:rFonts w:hint="eastAsia" w:ascii="宋体" w:hAnsi="宋体" w:cs="宋体"/>
                <w:kern w:val="0"/>
                <w:sz w:val="20"/>
                <w:szCs w:val="20"/>
              </w:rPr>
              <w:br w:type="textWrapping"/>
            </w:r>
            <w:r>
              <w:rPr>
                <w:rFonts w:hint="eastAsia" w:ascii="宋体" w:hAnsi="宋体" w:cs="宋体"/>
                <w:kern w:val="0"/>
                <w:sz w:val="20"/>
                <w:szCs w:val="20"/>
              </w:rPr>
              <w:t>2、性价比高</w:t>
            </w:r>
            <w:r>
              <w:rPr>
                <w:rFonts w:hint="eastAsia" w:ascii="宋体" w:hAnsi="宋体" w:cs="宋体"/>
                <w:kern w:val="0"/>
                <w:sz w:val="20"/>
                <w:szCs w:val="20"/>
              </w:rPr>
              <w:br w:type="textWrapping"/>
            </w:r>
            <w:r>
              <w:rPr>
                <w:rFonts w:hint="eastAsia" w:ascii="宋体" w:hAnsi="宋体" w:cs="宋体"/>
                <w:kern w:val="0"/>
                <w:sz w:val="20"/>
                <w:szCs w:val="20"/>
              </w:rPr>
              <w:t>3、支持扩容</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HDMI-HDMI数据线</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HDMI电缆,15m,黑色</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168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服务器</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 2U机架式服务器机箱，支持配置1颗4114（10核2.2GHz）处理器</w:t>
            </w:r>
            <w:r>
              <w:rPr>
                <w:rFonts w:hint="eastAsia" w:ascii="宋体" w:hAnsi="宋体" w:cs="宋体"/>
                <w:kern w:val="0"/>
                <w:sz w:val="20"/>
                <w:szCs w:val="20"/>
              </w:rPr>
              <w:br w:type="textWrapping"/>
            </w:r>
            <w:r>
              <w:rPr>
                <w:rFonts w:hint="eastAsia" w:ascii="宋体" w:hAnsi="宋体" w:cs="宋体"/>
                <w:kern w:val="0"/>
                <w:sz w:val="20"/>
                <w:szCs w:val="20"/>
              </w:rPr>
              <w:t>2. 配置32GB DDR4内存条；</w:t>
            </w:r>
            <w:r>
              <w:rPr>
                <w:rFonts w:hint="eastAsia" w:ascii="宋体" w:hAnsi="宋体" w:cs="宋体"/>
                <w:kern w:val="0"/>
                <w:sz w:val="20"/>
                <w:szCs w:val="20"/>
              </w:rPr>
              <w:br w:type="textWrapping"/>
            </w:r>
            <w:r>
              <w:rPr>
                <w:rFonts w:hint="eastAsia" w:ascii="宋体" w:hAnsi="宋体" w:cs="宋体"/>
                <w:kern w:val="0"/>
                <w:sz w:val="20"/>
                <w:szCs w:val="20"/>
              </w:rPr>
              <w:t>3. 配置2块1TB 7.2K SATA硬盘；</w:t>
            </w:r>
            <w:r>
              <w:rPr>
                <w:rFonts w:hint="eastAsia" w:ascii="宋体" w:hAnsi="宋体" w:cs="宋体"/>
                <w:kern w:val="0"/>
                <w:sz w:val="20"/>
                <w:szCs w:val="20"/>
              </w:rPr>
              <w:br w:type="textWrapping"/>
            </w:r>
            <w:r>
              <w:rPr>
                <w:rFonts w:hint="eastAsia" w:ascii="宋体" w:hAnsi="宋体" w:cs="宋体"/>
                <w:kern w:val="0"/>
                <w:sz w:val="20"/>
                <w:szCs w:val="20"/>
              </w:rPr>
              <w:t>4. 具备2个千兆网络接口，</w:t>
            </w:r>
            <w:r>
              <w:rPr>
                <w:rFonts w:hint="eastAsia" w:ascii="宋体" w:hAnsi="宋体" w:cs="宋体"/>
                <w:kern w:val="0"/>
                <w:sz w:val="20"/>
                <w:szCs w:val="20"/>
              </w:rPr>
              <w:br w:type="textWrapping"/>
            </w:r>
            <w:r>
              <w:rPr>
                <w:rFonts w:hint="eastAsia" w:ascii="宋体" w:hAnsi="宋体" w:cs="宋体"/>
                <w:kern w:val="0"/>
                <w:sz w:val="20"/>
                <w:szCs w:val="20"/>
              </w:rPr>
              <w:t>5. 标配550W1+1高效铂金CRPS冗余电源</w:t>
            </w:r>
            <w:r>
              <w:rPr>
                <w:rFonts w:hint="eastAsia" w:ascii="宋体" w:hAnsi="宋体" w:cs="宋体"/>
                <w:kern w:val="0"/>
                <w:sz w:val="20"/>
                <w:szCs w:val="20"/>
              </w:rPr>
              <w:br w:type="textWrapping"/>
            </w:r>
            <w:r>
              <w:rPr>
                <w:rFonts w:hint="eastAsia" w:ascii="宋体" w:hAnsi="宋体" w:cs="宋体"/>
                <w:kern w:val="0"/>
                <w:sz w:val="20"/>
                <w:szCs w:val="20"/>
              </w:rPr>
              <w:t>6. 整机支持16个DIMM插槽</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36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平台</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 要求支持对用户、角色、组织、区域、人员、车辆、卡片、设备等基础资源进行管理调配 </w:t>
            </w:r>
            <w:r>
              <w:rPr>
                <w:rFonts w:hint="eastAsia" w:ascii="宋体" w:hAnsi="宋体" w:cs="宋体"/>
                <w:kern w:val="0"/>
                <w:sz w:val="20"/>
                <w:szCs w:val="20"/>
              </w:rPr>
              <w:br w:type="textWrapping"/>
            </w:r>
            <w:r>
              <w:rPr>
                <w:rFonts w:hint="eastAsia" w:ascii="宋体" w:hAnsi="宋体" w:cs="宋体"/>
                <w:kern w:val="0"/>
                <w:sz w:val="20"/>
                <w:szCs w:val="20"/>
              </w:rPr>
              <w:t xml:space="preserve">2. 要求最大支持用户10000个，支持同时在线5000个用户 </w:t>
            </w:r>
            <w:r>
              <w:rPr>
                <w:rFonts w:hint="eastAsia" w:ascii="宋体" w:hAnsi="宋体" w:cs="宋体"/>
                <w:kern w:val="0"/>
                <w:sz w:val="20"/>
                <w:szCs w:val="20"/>
              </w:rPr>
              <w:br w:type="textWrapping"/>
            </w:r>
            <w:r>
              <w:rPr>
                <w:rFonts w:hint="eastAsia" w:ascii="宋体" w:hAnsi="宋体" w:cs="宋体"/>
                <w:kern w:val="0"/>
                <w:sz w:val="20"/>
                <w:szCs w:val="20"/>
              </w:rPr>
              <w:t xml:space="preserve">3. 要求支持用户权限管理，并支持多级管理 </w:t>
            </w:r>
            <w:r>
              <w:rPr>
                <w:rFonts w:hint="eastAsia" w:ascii="宋体" w:hAnsi="宋体" w:cs="宋体"/>
                <w:kern w:val="0"/>
                <w:sz w:val="20"/>
                <w:szCs w:val="20"/>
              </w:rPr>
              <w:br w:type="textWrapping"/>
            </w:r>
            <w:r>
              <w:rPr>
                <w:rFonts w:hint="eastAsia" w:ascii="宋体" w:hAnsi="宋体" w:cs="宋体"/>
                <w:kern w:val="0"/>
                <w:sz w:val="20"/>
                <w:szCs w:val="20"/>
              </w:rPr>
              <w:t xml:space="preserve">4. 要求支持多网域访问 </w:t>
            </w:r>
            <w:r>
              <w:rPr>
                <w:rFonts w:hint="eastAsia" w:ascii="宋体" w:hAnsi="宋体" w:cs="宋体"/>
                <w:kern w:val="0"/>
                <w:sz w:val="20"/>
                <w:szCs w:val="20"/>
              </w:rPr>
              <w:br w:type="textWrapping"/>
            </w:r>
            <w:r>
              <w:rPr>
                <w:rFonts w:hint="eastAsia" w:ascii="宋体" w:hAnsi="宋体" w:cs="宋体"/>
                <w:kern w:val="0"/>
                <w:sz w:val="20"/>
                <w:szCs w:val="20"/>
              </w:rPr>
              <w:t>5. ★要求支持AD域（提供公安部检验报告复印件并加盖原厂公章证明）</w:t>
            </w:r>
            <w:r>
              <w:rPr>
                <w:rFonts w:hint="eastAsia" w:ascii="宋体" w:hAnsi="宋体" w:cs="宋体"/>
                <w:kern w:val="0"/>
                <w:sz w:val="20"/>
                <w:szCs w:val="20"/>
              </w:rPr>
              <w:br w:type="textWrapping"/>
            </w:r>
            <w:r>
              <w:rPr>
                <w:rFonts w:hint="eastAsia" w:ascii="宋体" w:hAnsi="宋体" w:cs="宋体"/>
                <w:kern w:val="0"/>
                <w:sz w:val="20"/>
                <w:szCs w:val="20"/>
              </w:rPr>
              <w:t xml:space="preserve">6. 要求支持风格自定义，可自定义视图风格 </w:t>
            </w:r>
            <w:r>
              <w:rPr>
                <w:rFonts w:hint="eastAsia" w:ascii="宋体" w:hAnsi="宋体" w:cs="宋体"/>
                <w:kern w:val="0"/>
                <w:sz w:val="20"/>
                <w:szCs w:val="20"/>
              </w:rPr>
              <w:br w:type="textWrapping"/>
            </w:r>
            <w:r>
              <w:rPr>
                <w:rFonts w:hint="eastAsia" w:ascii="宋体" w:hAnsi="宋体" w:cs="宋体"/>
                <w:kern w:val="0"/>
                <w:sz w:val="20"/>
                <w:szCs w:val="20"/>
              </w:rPr>
              <w:t xml:space="preserve">7. 要求支持根据用户使用习惯自定义配置快捷功能入口，支持首页投放大屏展示，支持最近7天每日的用户活跃数统计 </w:t>
            </w:r>
            <w:r>
              <w:rPr>
                <w:rFonts w:hint="eastAsia" w:ascii="宋体" w:hAnsi="宋体" w:cs="宋体"/>
                <w:kern w:val="0"/>
                <w:sz w:val="20"/>
                <w:szCs w:val="20"/>
              </w:rPr>
              <w:br w:type="textWrapping"/>
            </w:r>
            <w:r>
              <w:rPr>
                <w:rFonts w:hint="eastAsia" w:ascii="宋体" w:hAnsi="宋体" w:cs="宋体"/>
                <w:kern w:val="0"/>
                <w:sz w:val="20"/>
                <w:szCs w:val="20"/>
              </w:rPr>
              <w:t>8. ★要求支持多色彩（红、橙、黄）展示运行告警状态，支持告警统计、概览、处理，支持告警记录查看、查询，支持告警单条、批量处理；支持系统最近7天每日告警数统计，支持评分量化系统监控指数，显示系统运行状态 （提供公安部检验报告复印件并加盖原厂公章证明）</w:t>
            </w:r>
            <w:r>
              <w:rPr>
                <w:rFonts w:hint="eastAsia" w:ascii="宋体" w:hAnsi="宋体" w:cs="宋体"/>
                <w:kern w:val="0"/>
                <w:sz w:val="20"/>
                <w:szCs w:val="20"/>
              </w:rPr>
              <w:br w:type="textWrapping"/>
            </w:r>
            <w:r>
              <w:rPr>
                <w:rFonts w:hint="eastAsia" w:ascii="宋体" w:hAnsi="宋体" w:cs="宋体"/>
                <w:kern w:val="0"/>
                <w:sz w:val="20"/>
                <w:szCs w:val="20"/>
              </w:rPr>
              <w:t>9. ★要求支持以中心管理服务为核心的网络拓扑结构，支持对系统中的分组、服务器、组件等统计概览、查看 （提供公安部检验报告复印件并加盖原厂公章证明）</w:t>
            </w:r>
            <w:r>
              <w:rPr>
                <w:rFonts w:hint="eastAsia" w:ascii="宋体" w:hAnsi="宋体" w:cs="宋体"/>
                <w:kern w:val="0"/>
                <w:sz w:val="20"/>
                <w:szCs w:val="20"/>
              </w:rPr>
              <w:br w:type="textWrapping"/>
            </w:r>
            <w:r>
              <w:rPr>
                <w:rFonts w:hint="eastAsia" w:ascii="宋体" w:hAnsi="宋体" w:cs="宋体"/>
                <w:kern w:val="0"/>
                <w:sz w:val="20"/>
                <w:szCs w:val="20"/>
              </w:rPr>
              <w:t xml:space="preserve">10. 要求监控点最多管理容量为100000路 </w:t>
            </w:r>
            <w:r>
              <w:rPr>
                <w:rFonts w:hint="eastAsia" w:ascii="宋体" w:hAnsi="宋体" w:cs="宋体"/>
                <w:kern w:val="0"/>
                <w:sz w:val="20"/>
                <w:szCs w:val="20"/>
              </w:rPr>
              <w:br w:type="textWrapping"/>
            </w:r>
            <w:r>
              <w:rPr>
                <w:rFonts w:hint="eastAsia" w:ascii="宋体" w:hAnsi="宋体" w:cs="宋体"/>
                <w:kern w:val="0"/>
                <w:sz w:val="20"/>
                <w:szCs w:val="20"/>
              </w:rPr>
              <w:t xml:space="preserve">11. ★要求系统支持国标协议上下级平台级联，支持流媒体集群配置（提供公安部检验报告复印件并加盖原厂公章证明） </w:t>
            </w:r>
            <w:r>
              <w:rPr>
                <w:rFonts w:hint="eastAsia" w:ascii="宋体" w:hAnsi="宋体" w:cs="宋体"/>
                <w:kern w:val="0"/>
                <w:sz w:val="20"/>
                <w:szCs w:val="20"/>
              </w:rPr>
              <w:br w:type="textWrapping"/>
            </w:r>
            <w:r>
              <w:rPr>
                <w:rFonts w:hint="eastAsia" w:ascii="宋体" w:hAnsi="宋体" w:cs="宋体"/>
                <w:kern w:val="0"/>
                <w:sz w:val="20"/>
                <w:szCs w:val="20"/>
              </w:rPr>
              <w:t xml:space="preserve">12. 要求支持视频质量诊断，接收信号丢失、图像黑白等异常情况的报警信息 </w:t>
            </w:r>
            <w:r>
              <w:rPr>
                <w:rFonts w:hint="eastAsia" w:ascii="宋体" w:hAnsi="宋体" w:cs="宋体"/>
                <w:kern w:val="0"/>
                <w:sz w:val="20"/>
                <w:szCs w:val="20"/>
              </w:rPr>
              <w:br w:type="textWrapping"/>
            </w:r>
            <w:r>
              <w:rPr>
                <w:rFonts w:hint="eastAsia" w:ascii="宋体" w:hAnsi="宋体" w:cs="宋体"/>
                <w:kern w:val="0"/>
                <w:sz w:val="20"/>
                <w:szCs w:val="20"/>
              </w:rPr>
              <w:t xml:space="preserve">13. 要求客户端支持自动在1/4/6/7/9/16/24画面分隔模式间进行监控点轮巡预览，轮巡时间可设置，支持全屏显示 </w:t>
            </w:r>
            <w:r>
              <w:rPr>
                <w:rFonts w:hint="eastAsia" w:ascii="宋体" w:hAnsi="宋体" w:cs="宋体"/>
                <w:kern w:val="0"/>
                <w:sz w:val="20"/>
                <w:szCs w:val="20"/>
              </w:rPr>
              <w:br w:type="textWrapping"/>
            </w:r>
            <w:r>
              <w:rPr>
                <w:rFonts w:hint="eastAsia" w:ascii="宋体" w:hAnsi="宋体" w:cs="宋体"/>
                <w:kern w:val="0"/>
                <w:sz w:val="20"/>
                <w:szCs w:val="20"/>
              </w:rPr>
              <w:t>14. 要求支持按时间、监控点、录像存储方式检索录像；客户端回放支持1/4/6/7/9/16画面分隔模式及全屏显示；支持单帧回放、播放速度控制（1/16、1/8、1/4、1/2、1、2、4、8、16倍速）、同步回放、异步回放；录像回放支持拖动进度条或指定时间点来进行录像定位；支持分段回放，以分段缩略图展示录像片段</w:t>
            </w:r>
            <w:r>
              <w:rPr>
                <w:rFonts w:hint="eastAsia" w:ascii="宋体" w:hAnsi="宋体" w:cs="宋体"/>
                <w:kern w:val="0"/>
                <w:sz w:val="20"/>
                <w:szCs w:val="20"/>
              </w:rPr>
              <w:br w:type="textWrapping"/>
            </w:r>
            <w:r>
              <w:rPr>
                <w:rFonts w:hint="eastAsia" w:ascii="宋体" w:hAnsi="宋体" w:cs="宋体"/>
                <w:kern w:val="0"/>
                <w:sz w:val="20"/>
                <w:szCs w:val="20"/>
              </w:rPr>
              <w:t xml:space="preserve">15. 要求可对大屏进行1/4/9/16/25分屏、拼接、开窗、窗口漫游的操作，通过客户端支持电视墙开窗后支持分割，并可将大屏分屏配置另保存为场景 </w:t>
            </w:r>
            <w:r>
              <w:rPr>
                <w:rFonts w:hint="eastAsia" w:ascii="宋体" w:hAnsi="宋体" w:cs="宋体"/>
                <w:kern w:val="0"/>
                <w:sz w:val="20"/>
                <w:szCs w:val="20"/>
              </w:rPr>
              <w:br w:type="textWrapping"/>
            </w:r>
            <w:r>
              <w:rPr>
                <w:rFonts w:hint="eastAsia" w:ascii="宋体" w:hAnsi="宋体" w:cs="宋体"/>
                <w:kern w:val="0"/>
                <w:sz w:val="20"/>
                <w:szCs w:val="20"/>
              </w:rPr>
              <w:t xml:space="preserve">16. 要求通过客户端支持通过配置窗口分屏数（1/4/9/16/25），使预览上墙分割数等于或大于配置的数时上墙子码流，低于配置的分屏数时上墙主码流 </w:t>
            </w:r>
            <w:r>
              <w:rPr>
                <w:rFonts w:hint="eastAsia" w:ascii="宋体" w:hAnsi="宋体" w:cs="宋体"/>
                <w:kern w:val="0"/>
                <w:sz w:val="20"/>
                <w:szCs w:val="20"/>
              </w:rPr>
              <w:br w:type="textWrapping"/>
            </w:r>
            <w:r>
              <w:rPr>
                <w:rFonts w:hint="eastAsia" w:ascii="宋体" w:hAnsi="宋体" w:cs="宋体"/>
                <w:kern w:val="0"/>
                <w:sz w:val="20"/>
                <w:szCs w:val="20"/>
              </w:rPr>
              <w:t>17.★为保证系统稳定性，后端管理平台需与前端监控设备为同一品牌</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216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光缆（8芯）</w:t>
            </w:r>
          </w:p>
        </w:tc>
        <w:tc>
          <w:tcPr>
            <w:tcW w:w="5700"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1、规格：室外中心束管式光缆；纤芯规格为：9um ；</w:t>
            </w:r>
            <w:r>
              <w:rPr>
                <w:rFonts w:hint="eastAsia" w:ascii="宋体" w:hAnsi="宋体" w:cs="宋体"/>
                <w:kern w:val="0"/>
                <w:sz w:val="20"/>
                <w:szCs w:val="20"/>
              </w:rPr>
              <w:br w:type="textWrapping"/>
            </w:r>
            <w:r>
              <w:rPr>
                <w:rFonts w:hint="eastAsia" w:ascii="宋体" w:hAnsi="宋体" w:cs="宋体"/>
                <w:kern w:val="0"/>
                <w:sz w:val="20"/>
                <w:szCs w:val="20"/>
              </w:rPr>
              <w:t>2、加强层：双面涂塑钢带（ PSP ）；</w:t>
            </w:r>
            <w:r>
              <w:rPr>
                <w:rFonts w:hint="eastAsia" w:ascii="宋体" w:hAnsi="宋体" w:cs="宋体"/>
                <w:kern w:val="0"/>
                <w:sz w:val="20"/>
                <w:szCs w:val="20"/>
              </w:rPr>
              <w:br w:type="textWrapping"/>
            </w:r>
            <w:r>
              <w:rPr>
                <w:rFonts w:hint="eastAsia" w:ascii="宋体" w:hAnsi="宋体" w:cs="宋体"/>
                <w:kern w:val="0"/>
                <w:sz w:val="20"/>
                <w:szCs w:val="20"/>
              </w:rPr>
              <w:t>3、光芯数2-12：钢丝直径（mm）:1.6；松套管尺寸（mm）：2.0/3.0；护套标准厚度（mm）3.0；允许拉伸力长期/短期（n）：1500/3000；允许压扁力（N/100mm）：3000；</w:t>
            </w:r>
            <w:r>
              <w:rPr>
                <w:rFonts w:hint="eastAsia" w:ascii="宋体" w:hAnsi="宋体" w:cs="宋体"/>
                <w:kern w:val="0"/>
                <w:sz w:val="20"/>
                <w:szCs w:val="20"/>
              </w:rPr>
              <w:br w:type="textWrapping"/>
            </w:r>
            <w:r>
              <w:rPr>
                <w:rFonts w:hint="eastAsia" w:ascii="宋体" w:hAnsi="宋体" w:cs="宋体"/>
                <w:kern w:val="0"/>
                <w:sz w:val="20"/>
                <w:szCs w:val="20"/>
              </w:rPr>
              <w:t xml:space="preserve">4、光芯数14-24：钢丝直径（mm）:1.6；松套管尺寸（mm）：2.8/4.0；护套标准厚度（mm）3.0；允许拉伸力长期/短期（n）：1500/3000；允许压扁力（N/100mm）：3000；                                                                                                                                                                                                            </w:t>
            </w:r>
            <w:r>
              <w:rPr>
                <w:rFonts w:hint="eastAsia" w:ascii="宋体" w:hAnsi="宋体" w:cs="宋体"/>
                <w:kern w:val="0"/>
                <w:sz w:val="20"/>
                <w:szCs w:val="20"/>
              </w:rPr>
              <w:br w:type="textWrapping"/>
            </w:r>
            <w:r>
              <w:rPr>
                <w:rFonts w:hint="eastAsia" w:ascii="宋体" w:hAnsi="宋体" w:cs="宋体"/>
                <w:kern w:val="0"/>
                <w:sz w:val="20"/>
                <w:szCs w:val="20"/>
              </w:rPr>
              <w:t>5、为了保证产品质量及相应的售后服务，必须有厂家的项目授权书和25年质量保证服务；为便于采购、安装、测试、产品的质保为保证、系统兼容性及美观性，必须与六类非屏蔽双绞线同一品牌。</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1200</w:t>
            </w:r>
          </w:p>
        </w:tc>
      </w:tr>
      <w:tr>
        <w:tblPrEx>
          <w:tblCellMar>
            <w:top w:w="0" w:type="dxa"/>
            <w:left w:w="108" w:type="dxa"/>
            <w:bottom w:w="0" w:type="dxa"/>
            <w:right w:w="108" w:type="dxa"/>
          </w:tblCellMar>
        </w:tblPrEx>
        <w:trPr>
          <w:trHeight w:val="216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LC尾纤</w:t>
            </w:r>
          </w:p>
        </w:tc>
        <w:tc>
          <w:tcPr>
            <w:tcW w:w="5700"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1、符合ANSI/TIA-568-0.D-2015的要求；                                                    2、标准插入损耗（dB）：0.15；最大插入损耗（dB）：0.25；标准反射（dB）：50：最大反射（dB）：48；</w:t>
            </w:r>
            <w:r>
              <w:rPr>
                <w:rFonts w:hint="eastAsia" w:ascii="宋体" w:hAnsi="宋体" w:cs="宋体"/>
                <w:kern w:val="0"/>
                <w:sz w:val="20"/>
                <w:szCs w:val="20"/>
              </w:rPr>
              <w:br w:type="textWrapping"/>
            </w:r>
            <w:r>
              <w:rPr>
                <w:rFonts w:hint="eastAsia" w:ascii="宋体" w:hAnsi="宋体" w:cs="宋体"/>
                <w:kern w:val="0"/>
                <w:sz w:val="20"/>
                <w:szCs w:val="20"/>
              </w:rPr>
              <w:t xml:space="preserve">3、光纤护套：LSZH；长度：常规1.5米或用户定义；                                           4、★为了保证产品质量，该产品通过泰尔实验室单模光纤链路检验（提供检验报告复印件加盖生产厂家公章）； </w:t>
            </w:r>
            <w:r>
              <w:rPr>
                <w:rFonts w:hint="eastAsia" w:ascii="宋体" w:hAnsi="宋体" w:cs="宋体"/>
                <w:kern w:val="0"/>
                <w:sz w:val="20"/>
                <w:szCs w:val="20"/>
              </w:rPr>
              <w:br w:type="textWrapping"/>
            </w:r>
            <w:r>
              <w:rPr>
                <w:rFonts w:hint="eastAsia" w:ascii="宋体" w:hAnsi="宋体" w:cs="宋体"/>
                <w:kern w:val="0"/>
                <w:sz w:val="20"/>
                <w:szCs w:val="20"/>
              </w:rPr>
              <w:t>5、为了保证产品质量及相应的售后服务，必须有厂家的项目授权书和25年质量保证服务；为便于采购、安装、测试、产品的质保为保证、系统兼容性及美观性，必须与六类非屏蔽双绞线同一品牌。</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112</w:t>
            </w:r>
          </w:p>
        </w:tc>
      </w:tr>
      <w:tr>
        <w:tblPrEx>
          <w:tblCellMar>
            <w:top w:w="0" w:type="dxa"/>
            <w:left w:w="108" w:type="dxa"/>
            <w:bottom w:w="0" w:type="dxa"/>
            <w:right w:w="108" w:type="dxa"/>
          </w:tblCellMar>
        </w:tblPrEx>
        <w:trPr>
          <w:trHeight w:val="192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LC耦合器</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1、符合ANSI/TIA-568-0.D-2015的要求；</w:t>
            </w:r>
            <w:r>
              <w:rPr>
                <w:rFonts w:hint="eastAsia" w:ascii="宋体" w:hAnsi="宋体" w:cs="宋体"/>
                <w:kern w:val="0"/>
                <w:sz w:val="20"/>
                <w:szCs w:val="20"/>
              </w:rPr>
              <w:br w:type="textWrapping"/>
            </w:r>
            <w:r>
              <w:rPr>
                <w:rFonts w:hint="eastAsia" w:ascii="宋体" w:hAnsi="宋体" w:cs="宋体"/>
                <w:kern w:val="0"/>
                <w:sz w:val="20"/>
                <w:szCs w:val="20"/>
              </w:rPr>
              <w:t>2、插入损耗≤0.3dB；温度性能：-40℃～+85℃；反射损耗≥55dB；耐久性500yclds。变化小于等于0.2dB；</w:t>
            </w:r>
            <w:r>
              <w:rPr>
                <w:rFonts w:hint="eastAsia" w:ascii="宋体" w:hAnsi="宋体" w:cs="宋体"/>
                <w:kern w:val="0"/>
                <w:sz w:val="20"/>
                <w:szCs w:val="20"/>
              </w:rPr>
              <w:br w:type="textWrapping"/>
            </w:r>
            <w:r>
              <w:rPr>
                <w:rFonts w:hint="eastAsia" w:ascii="宋体" w:hAnsi="宋体" w:cs="宋体"/>
                <w:kern w:val="0"/>
                <w:sz w:val="20"/>
                <w:szCs w:val="20"/>
              </w:rPr>
              <w:t xml:space="preserve">4、★为了保证产品质量，该产品通过泰尔实验室单模光纤链路检验（提供检验报告复印件加盖生产厂家公章）； </w:t>
            </w:r>
            <w:r>
              <w:rPr>
                <w:rFonts w:hint="eastAsia" w:ascii="宋体" w:hAnsi="宋体" w:cs="宋体"/>
                <w:kern w:val="0"/>
                <w:sz w:val="20"/>
                <w:szCs w:val="20"/>
              </w:rPr>
              <w:br w:type="textWrapping"/>
            </w:r>
            <w:r>
              <w:rPr>
                <w:rFonts w:hint="eastAsia" w:ascii="宋体" w:hAnsi="宋体" w:cs="宋体"/>
                <w:kern w:val="0"/>
                <w:sz w:val="20"/>
                <w:szCs w:val="20"/>
              </w:rPr>
              <w:t>5、为了保证产品质量及相应的售后服务，必须有厂家的项目授权书和25年质量保证服务；为便于采购、安装、测试、产品的质保为保证、系统兼容性及美观性，必须与六类非屏蔽双绞线同一品牌。</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112</w:t>
            </w:r>
          </w:p>
        </w:tc>
      </w:tr>
      <w:tr>
        <w:tblPrEx>
          <w:tblCellMar>
            <w:top w:w="0" w:type="dxa"/>
            <w:left w:w="108" w:type="dxa"/>
            <w:bottom w:w="0" w:type="dxa"/>
            <w:right w:w="108" w:type="dxa"/>
          </w:tblCellMar>
        </w:tblPrEx>
        <w:trPr>
          <w:trHeight w:val="192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LC-LC跳线</w:t>
            </w:r>
          </w:p>
        </w:tc>
        <w:tc>
          <w:tcPr>
            <w:tcW w:w="5700"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1、符合ANSI/TIA-568-0.D-2015的要求。</w:t>
            </w:r>
            <w:r>
              <w:rPr>
                <w:rFonts w:hint="eastAsia" w:ascii="宋体" w:hAnsi="宋体" w:cs="宋体"/>
                <w:kern w:val="0"/>
                <w:sz w:val="20"/>
                <w:szCs w:val="20"/>
              </w:rPr>
              <w:br w:type="textWrapping"/>
            </w:r>
            <w:r>
              <w:rPr>
                <w:rFonts w:hint="eastAsia" w:ascii="宋体" w:hAnsi="宋体" w:cs="宋体"/>
                <w:kern w:val="0"/>
                <w:sz w:val="20"/>
                <w:szCs w:val="20"/>
              </w:rPr>
              <w:t>2、插入损耗≤0.4dB；温度性能：-40℃～+80℃；重复性 ≤0.2dB；互换性 ≤0.2dB；</w:t>
            </w:r>
            <w:r>
              <w:rPr>
                <w:rFonts w:hint="eastAsia" w:ascii="宋体" w:hAnsi="宋体" w:cs="宋体"/>
                <w:kern w:val="0"/>
                <w:sz w:val="20"/>
                <w:szCs w:val="20"/>
              </w:rPr>
              <w:br w:type="textWrapping"/>
            </w:r>
            <w:r>
              <w:rPr>
                <w:rFonts w:hint="eastAsia" w:ascii="宋体" w:hAnsi="宋体" w:cs="宋体"/>
                <w:kern w:val="0"/>
                <w:sz w:val="20"/>
                <w:szCs w:val="20"/>
              </w:rPr>
              <w:t xml:space="preserve">3、光纤护套：LSZH；长度：常规3米或用户定义；                                           4、★为了保证产品质量，该产品通过泰尔实验室单模光纤链路检验（提供检验报告复印件加盖生产厂家公章） </w:t>
            </w:r>
            <w:r>
              <w:rPr>
                <w:rFonts w:hint="eastAsia" w:ascii="宋体" w:hAnsi="宋体" w:cs="宋体"/>
                <w:kern w:val="0"/>
                <w:sz w:val="20"/>
                <w:szCs w:val="20"/>
              </w:rPr>
              <w:br w:type="textWrapping"/>
            </w:r>
            <w:r>
              <w:rPr>
                <w:rFonts w:hint="eastAsia" w:ascii="宋体" w:hAnsi="宋体" w:cs="宋体"/>
                <w:kern w:val="0"/>
                <w:sz w:val="20"/>
                <w:szCs w:val="20"/>
              </w:rPr>
              <w:t>5、为了保证产品质量及相应的售后服务，必须有厂家的项目授权书和25年质量保证服务；为便于采购、安装、测试、产品的质保为保证、系统兼容性及美观性，必须与六类非屏蔽双绞线同一品牌。</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r>
      <w:tr>
        <w:tblPrEx>
          <w:tblCellMar>
            <w:top w:w="0" w:type="dxa"/>
            <w:left w:w="108" w:type="dxa"/>
            <w:bottom w:w="0" w:type="dxa"/>
            <w:right w:w="108" w:type="dxa"/>
          </w:tblCellMar>
        </w:tblPrEx>
        <w:trPr>
          <w:trHeight w:val="168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光纤配线架24口</w:t>
            </w:r>
          </w:p>
        </w:tc>
        <w:tc>
          <w:tcPr>
            <w:tcW w:w="5700"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1、壳体采用优质冷轧钢板,档尘板为有机玻璃；24芯熔纤盘为：ABS工程；支持19″标准安装，适用于多种机架、机柜上的安装；提供光纤熔接、配线管理；</w:t>
            </w:r>
            <w:r>
              <w:rPr>
                <w:rFonts w:hint="eastAsia" w:ascii="宋体" w:hAnsi="宋体" w:cs="宋体"/>
                <w:kern w:val="0"/>
                <w:sz w:val="20"/>
                <w:szCs w:val="20"/>
              </w:rPr>
              <w:br w:type="textWrapping"/>
            </w:r>
            <w:r>
              <w:rPr>
                <w:rFonts w:hint="eastAsia" w:ascii="宋体" w:hAnsi="宋体" w:cs="宋体"/>
                <w:kern w:val="0"/>
                <w:sz w:val="20"/>
                <w:szCs w:val="20"/>
              </w:rPr>
              <w:t xml:space="preserve">2、满足光纤应用的多样性，支持LC、FC、SC和ST不同类型的光纤适配器；1U高度，单工最多可以安装24只，LC双工最多可以安装24只可以扩充到48口；1U最大光纤芯数：48；                                                                         </w:t>
            </w:r>
            <w:r>
              <w:rPr>
                <w:rFonts w:hint="eastAsia" w:ascii="宋体" w:hAnsi="宋体" w:cs="宋体"/>
                <w:kern w:val="0"/>
                <w:sz w:val="20"/>
                <w:szCs w:val="20"/>
              </w:rPr>
              <w:br w:type="textWrapping"/>
            </w:r>
            <w:r>
              <w:rPr>
                <w:rFonts w:hint="eastAsia" w:ascii="宋体" w:hAnsi="宋体" w:cs="宋体"/>
                <w:kern w:val="0"/>
                <w:sz w:val="20"/>
                <w:szCs w:val="20"/>
              </w:rPr>
              <w:t>3、为了保证产品质量及相应的售后服务，必须有厂家的项目授权书和25年质量保证服务；为便于采购、安装、测试、产品的质保为保证、系统兼容性及美观性，必须与六类非屏蔽双绞线同一品牌。</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14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光纤配线架12口</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1、壳体采用优质冷轧钢板,档尘板为有机玻璃；12芯熔纤盘为：ABS工程；支持19″标准安装，适用于多种机架、机柜上的安装；</w:t>
            </w:r>
            <w:r>
              <w:rPr>
                <w:rFonts w:hint="eastAsia" w:ascii="宋体" w:hAnsi="宋体" w:cs="宋体"/>
                <w:kern w:val="0"/>
                <w:sz w:val="20"/>
                <w:szCs w:val="20"/>
              </w:rPr>
              <w:br w:type="textWrapping"/>
            </w:r>
            <w:r>
              <w:rPr>
                <w:rFonts w:hint="eastAsia" w:ascii="宋体" w:hAnsi="宋体" w:cs="宋体"/>
                <w:kern w:val="0"/>
                <w:sz w:val="20"/>
                <w:szCs w:val="20"/>
              </w:rPr>
              <w:t>2、满足光纤应用的多样性，支持LC、FC、SC和ST不同类型的光纤适配器；1U高度，单工最多可以安装12只，LC双工最多可以安装12只可以扩充到24口；1U最大光纤芯数：24；                                                                         3、提供原生产厂家授权和25年售后服务承诺函并盖原厂家公章，为便于采购、安装、测试、产品的质保为保证、系统兼容性及美观性，必须与六类非屏蔽双绞线同一品牌。</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光纤熔接费</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包含线路测试</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112</w:t>
            </w:r>
          </w:p>
        </w:tc>
      </w:tr>
      <w:tr>
        <w:tblPrEx>
          <w:tblCellMar>
            <w:top w:w="0" w:type="dxa"/>
            <w:left w:w="108" w:type="dxa"/>
            <w:bottom w:w="0" w:type="dxa"/>
            <w:right w:w="108" w:type="dxa"/>
          </w:tblCellMar>
        </w:tblPrEx>
        <w:trPr>
          <w:trHeight w:val="254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网线</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1、性能要求：23AWG线规，并采用带十字支撑架结构，可以有效隔离对绞线对以优化NEXT和ELFEXT性能，4对线，每芯带有色条区别，内有线缆撕裂绳。</w:t>
            </w:r>
            <w:r>
              <w:rPr>
                <w:rFonts w:hint="eastAsia" w:ascii="宋体" w:hAnsi="宋体" w:cs="宋体"/>
                <w:kern w:val="0"/>
                <w:sz w:val="20"/>
                <w:szCs w:val="20"/>
              </w:rPr>
              <w:br w:type="textWrapping"/>
            </w:r>
            <w:r>
              <w:rPr>
                <w:rFonts w:hint="eastAsia" w:ascii="宋体" w:hAnsi="宋体" w:cs="宋体"/>
                <w:kern w:val="0"/>
                <w:sz w:val="20"/>
                <w:szCs w:val="20"/>
              </w:rPr>
              <w:t>2、标准要求：符合YD/T 1019-2013标准和TIA-EIA-568-C.2-2009标准。</w:t>
            </w:r>
            <w:r>
              <w:rPr>
                <w:rFonts w:hint="eastAsia" w:ascii="宋体" w:hAnsi="宋体" w:cs="宋体"/>
                <w:kern w:val="0"/>
                <w:sz w:val="20"/>
                <w:szCs w:val="20"/>
              </w:rPr>
              <w:br w:type="textWrapping"/>
            </w:r>
            <w:r>
              <w:rPr>
                <w:rFonts w:hint="eastAsia" w:ascii="宋体" w:hAnsi="宋体" w:cs="宋体"/>
                <w:kern w:val="0"/>
                <w:sz w:val="20"/>
                <w:szCs w:val="20"/>
              </w:rPr>
              <w:t>3、电气特性：线对直流电阻不平衡≤2%；4≤f≤250MHz衰减：4；工作电容≤5.6pF/100m；线对对地电容不平衡≤330pF/100m</w:t>
            </w:r>
            <w:r>
              <w:rPr>
                <w:rFonts w:hint="eastAsia" w:ascii="宋体" w:hAnsi="宋体" w:cs="宋体"/>
                <w:kern w:val="0"/>
                <w:sz w:val="20"/>
                <w:szCs w:val="20"/>
              </w:rPr>
              <w:br w:type="textWrapping"/>
            </w:r>
            <w:r>
              <w:rPr>
                <w:rFonts w:hint="eastAsia" w:ascii="宋体" w:hAnsi="宋体" w:cs="宋体"/>
                <w:kern w:val="0"/>
                <w:sz w:val="20"/>
                <w:szCs w:val="20"/>
              </w:rPr>
              <w:t>4、护套要求：PVC材料。</w:t>
            </w:r>
            <w:r>
              <w:rPr>
                <w:rFonts w:hint="eastAsia" w:ascii="宋体" w:hAnsi="宋体" w:cs="宋体"/>
                <w:kern w:val="0"/>
                <w:sz w:val="20"/>
                <w:szCs w:val="20"/>
              </w:rPr>
              <w:br w:type="textWrapping"/>
            </w:r>
            <w:r>
              <w:rPr>
                <w:rFonts w:hint="eastAsia" w:ascii="宋体" w:hAnsi="宋体" w:cs="宋体"/>
                <w:kern w:val="0"/>
                <w:sz w:val="20"/>
                <w:szCs w:val="20"/>
              </w:rPr>
              <w:t>5、护套标识：外护套印有LOGO、型线规、屏蔽类型、标准号、缆型等信息，要求字迹清晰、不褪色、容易辨别，用于产品的质量回溯，并印有逆序长度标注(305~0 meter)以方便识别线缆长度。</w:t>
            </w:r>
            <w:r>
              <w:rPr>
                <w:rFonts w:hint="eastAsia" w:ascii="宋体" w:hAnsi="宋体" w:cs="宋体"/>
                <w:kern w:val="0"/>
                <w:sz w:val="20"/>
                <w:szCs w:val="20"/>
              </w:rPr>
              <w:br w:type="textWrapping"/>
            </w:r>
            <w:r>
              <w:rPr>
                <w:rFonts w:hint="eastAsia" w:ascii="宋体" w:hAnsi="宋体" w:cs="宋体"/>
                <w:kern w:val="0"/>
                <w:sz w:val="20"/>
                <w:szCs w:val="20"/>
              </w:rPr>
              <w:t xml:space="preserve">6、★认证及测试：提供信息产业部测试信道测试报告和六类非屏蔽双绞线测试报告复印件并加盖原厂公章。       </w:t>
            </w:r>
            <w:r>
              <w:rPr>
                <w:rFonts w:hint="eastAsia" w:ascii="宋体" w:hAnsi="宋体" w:cs="宋体"/>
                <w:kern w:val="0"/>
                <w:sz w:val="20"/>
                <w:szCs w:val="20"/>
              </w:rPr>
              <w:br w:type="textWrapping"/>
            </w:r>
            <w:r>
              <w:rPr>
                <w:rFonts w:hint="eastAsia" w:ascii="宋体" w:hAnsi="宋体" w:cs="宋体"/>
                <w:kern w:val="0"/>
                <w:sz w:val="20"/>
                <w:szCs w:val="20"/>
              </w:rPr>
              <w:t>7、★提供原生产厂家授权和25年售后服务承诺函并盖原厂家公章，为便于采购、安装、测试、产品的质保为保证、系统兼容性及美观性，综合布线必须采用同一品牌。</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12365</w:t>
            </w: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光纤模块</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千兆SFP光模块</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r>
      <w:tr>
        <w:tblPrEx>
          <w:tblCellMar>
            <w:top w:w="0" w:type="dxa"/>
            <w:left w:w="108" w:type="dxa"/>
            <w:bottom w:w="0" w:type="dxa"/>
            <w:right w:w="108" w:type="dxa"/>
          </w:tblCellMar>
        </w:tblPrEx>
        <w:trPr>
          <w:trHeight w:val="699"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网络机柜12U</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尺寸：600*600*600（宽*深*高）12U</w:t>
            </w:r>
            <w:r>
              <w:rPr>
                <w:rFonts w:hint="eastAsia" w:ascii="宋体" w:hAnsi="宋体" w:cs="宋体"/>
                <w:kern w:val="0"/>
                <w:sz w:val="20"/>
                <w:szCs w:val="20"/>
              </w:rPr>
              <w:br w:type="textWrapping"/>
            </w:r>
            <w:r>
              <w:rPr>
                <w:rFonts w:hint="eastAsia" w:ascii="宋体" w:hAnsi="宋体" w:cs="宋体"/>
                <w:kern w:val="0"/>
                <w:sz w:val="20"/>
                <w:szCs w:val="20"/>
              </w:rPr>
              <w:t>参数：前后网孔, 颜色黑色</w:t>
            </w:r>
            <w:r>
              <w:rPr>
                <w:rFonts w:hint="eastAsia" w:ascii="宋体" w:hAnsi="宋体" w:cs="宋体"/>
                <w:kern w:val="0"/>
                <w:sz w:val="20"/>
                <w:szCs w:val="20"/>
              </w:rPr>
              <w:br w:type="textWrapping"/>
            </w:r>
            <w:r>
              <w:rPr>
                <w:rFonts w:hint="eastAsia" w:ascii="宋体" w:hAnsi="宋体" w:cs="宋体"/>
                <w:kern w:val="0"/>
                <w:sz w:val="20"/>
                <w:szCs w:val="20"/>
              </w:rPr>
              <w:t>配置：1个层板，20套螺丝</w:t>
            </w:r>
            <w:r>
              <w:rPr>
                <w:rFonts w:hint="eastAsia" w:ascii="宋体" w:hAnsi="宋体" w:cs="宋体"/>
                <w:kern w:val="0"/>
                <w:sz w:val="20"/>
                <w:szCs w:val="20"/>
              </w:rPr>
              <w:br w:type="textWrapping"/>
            </w:r>
            <w:r>
              <w:rPr>
                <w:rFonts w:hint="eastAsia" w:ascii="宋体" w:hAnsi="宋体" w:cs="宋体"/>
                <w:kern w:val="0"/>
                <w:sz w:val="20"/>
                <w:szCs w:val="20"/>
              </w:rPr>
              <w:t xml:space="preserve">板材厚度：整体采用组装，立柱2.0MM带U标，框架厚度1.0MM，侧面0.8MM冷扎钢板。 </w:t>
            </w:r>
            <w:r>
              <w:rPr>
                <w:rFonts w:hint="eastAsia" w:ascii="宋体" w:hAnsi="宋体" w:cs="宋体"/>
                <w:kern w:val="0"/>
                <w:sz w:val="20"/>
                <w:szCs w:val="20"/>
              </w:rPr>
              <w:br w:type="textWrapping"/>
            </w:r>
            <w:r>
              <w:rPr>
                <w:rFonts w:hint="eastAsia" w:ascii="宋体" w:hAnsi="宋体" w:cs="宋体"/>
                <w:kern w:val="0"/>
                <w:sz w:val="20"/>
                <w:szCs w:val="20"/>
              </w:rPr>
              <w:t>采用优质冷轧钢板表面脱脂、酸洗、磷化、静电喷塑</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r>
      <w:tr>
        <w:tblPrEx>
          <w:tblCellMar>
            <w:top w:w="0" w:type="dxa"/>
            <w:left w:w="108" w:type="dxa"/>
            <w:bottom w:w="0" w:type="dxa"/>
            <w:right w:w="108" w:type="dxa"/>
          </w:tblCellMar>
        </w:tblPrEx>
        <w:trPr>
          <w:trHeight w:val="96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水晶头</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1、材料采用高密度聚乙烯和50μ镀金三叉簧片；两段式卡片结构；</w:t>
            </w:r>
            <w:r>
              <w:rPr>
                <w:rFonts w:hint="eastAsia" w:ascii="宋体" w:hAnsi="宋体" w:cs="宋体"/>
                <w:kern w:val="0"/>
                <w:sz w:val="20"/>
                <w:szCs w:val="20"/>
              </w:rPr>
              <w:br w:type="textWrapping"/>
            </w:r>
            <w:r>
              <w:rPr>
                <w:rFonts w:hint="eastAsia" w:ascii="宋体" w:hAnsi="宋体" w:cs="宋体"/>
                <w:kern w:val="0"/>
                <w:sz w:val="20"/>
                <w:szCs w:val="20"/>
              </w:rPr>
              <w:t>2、为了保证产品质量及相应的售后服务，综合布线必须有厂家的项目授权书和5年质量保证服务；为便于采购、安装、测试、提供方便可靠的产品质量保证、系统兼容性及美观性，必须与六类非屏蔽双绞线同一品牌。</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盒</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摄像机支架</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可升缩1-2米（定制）</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79</w:t>
            </w:r>
          </w:p>
        </w:tc>
      </w:tr>
      <w:tr>
        <w:tblPrEx>
          <w:tblCellMar>
            <w:top w:w="0" w:type="dxa"/>
            <w:left w:w="108" w:type="dxa"/>
            <w:bottom w:w="0" w:type="dxa"/>
            <w:right w:w="108" w:type="dxa"/>
          </w:tblCellMar>
        </w:tblPrEx>
        <w:trPr>
          <w:trHeight w:val="38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客流统计摄像机</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分辨率：640*480；传感器：1/4” CMOS；</w:t>
            </w:r>
            <w:r>
              <w:rPr>
                <w:rFonts w:hint="eastAsia" w:ascii="宋体" w:hAnsi="宋体" w:cs="宋体"/>
                <w:kern w:val="0"/>
                <w:sz w:val="20"/>
                <w:szCs w:val="20"/>
              </w:rPr>
              <w:br w:type="textWrapping"/>
            </w:r>
            <w:r>
              <w:rPr>
                <w:rFonts w:hint="eastAsia" w:ascii="宋体" w:hAnsi="宋体" w:cs="宋体"/>
                <w:kern w:val="0"/>
                <w:sz w:val="20"/>
                <w:szCs w:val="20"/>
              </w:rPr>
              <w:t>镜头：内置焦距1.8mm镜头（可换2.5mm）；</w:t>
            </w:r>
            <w:r>
              <w:rPr>
                <w:rFonts w:hint="eastAsia" w:ascii="宋体" w:hAnsi="宋体" w:cs="宋体"/>
                <w:kern w:val="0"/>
                <w:sz w:val="20"/>
                <w:szCs w:val="20"/>
              </w:rPr>
              <w:br w:type="textWrapping"/>
            </w:r>
            <w:r>
              <w:rPr>
                <w:rFonts w:hint="eastAsia" w:ascii="宋体" w:hAnsi="宋体" w:cs="宋体"/>
                <w:kern w:val="0"/>
                <w:sz w:val="20"/>
                <w:szCs w:val="20"/>
              </w:rPr>
              <w:t>帧率：25帧；</w:t>
            </w:r>
            <w:r>
              <w:rPr>
                <w:rFonts w:hint="eastAsia" w:ascii="宋体" w:hAnsi="宋体" w:cs="宋体"/>
                <w:kern w:val="0"/>
                <w:sz w:val="20"/>
                <w:szCs w:val="20"/>
              </w:rPr>
              <w:br w:type="textWrapping"/>
            </w:r>
            <w:r>
              <w:rPr>
                <w:rFonts w:hint="eastAsia" w:ascii="宋体" w:hAnsi="宋体" w:cs="宋体"/>
                <w:kern w:val="0"/>
                <w:sz w:val="20"/>
                <w:szCs w:val="20"/>
              </w:rPr>
              <w:t>视频编码：H.264标准编码；</w:t>
            </w:r>
            <w:r>
              <w:rPr>
                <w:rFonts w:hint="eastAsia" w:ascii="宋体" w:hAnsi="宋体" w:cs="宋体"/>
                <w:kern w:val="0"/>
                <w:sz w:val="20"/>
                <w:szCs w:val="20"/>
              </w:rPr>
              <w:br w:type="textWrapping"/>
            </w:r>
            <w:r>
              <w:rPr>
                <w:rFonts w:hint="eastAsia" w:ascii="宋体" w:hAnsi="宋体" w:cs="宋体"/>
                <w:kern w:val="0"/>
                <w:sz w:val="20"/>
                <w:szCs w:val="20"/>
              </w:rPr>
              <w:t>网络接口：1个10M/100M RJ45接口</w:t>
            </w:r>
            <w:r>
              <w:rPr>
                <w:rFonts w:hint="eastAsia" w:ascii="宋体" w:hAnsi="宋体" w:cs="宋体"/>
                <w:kern w:val="0"/>
                <w:sz w:val="20"/>
                <w:szCs w:val="20"/>
              </w:rPr>
              <w:br w:type="textWrapping"/>
            </w:r>
            <w:r>
              <w:rPr>
                <w:rFonts w:hint="eastAsia" w:ascii="宋体" w:hAnsi="宋体" w:cs="宋体"/>
                <w:kern w:val="0"/>
                <w:sz w:val="20"/>
                <w:szCs w:val="20"/>
              </w:rPr>
              <w:t>客流统计进出准确率：97%以上；</w:t>
            </w:r>
            <w:r>
              <w:rPr>
                <w:rFonts w:hint="eastAsia" w:ascii="宋体" w:hAnsi="宋体" w:cs="宋体"/>
                <w:kern w:val="0"/>
                <w:sz w:val="20"/>
                <w:szCs w:val="20"/>
              </w:rPr>
              <w:br w:type="textWrapping"/>
            </w:r>
            <w:r>
              <w:rPr>
                <w:rFonts w:hint="eastAsia" w:ascii="宋体" w:hAnsi="宋体" w:cs="宋体"/>
                <w:kern w:val="0"/>
                <w:sz w:val="20"/>
                <w:szCs w:val="20"/>
              </w:rPr>
              <w:t>具备本地存储功能：存储容量≥4GB；存储时间：应不少于30天的客流统计数据</w:t>
            </w:r>
            <w:r>
              <w:rPr>
                <w:rFonts w:hint="eastAsia" w:ascii="宋体" w:hAnsi="宋体" w:cs="宋体"/>
                <w:kern w:val="0"/>
                <w:sz w:val="20"/>
                <w:szCs w:val="20"/>
              </w:rPr>
              <w:br w:type="textWrapping"/>
            </w:r>
            <w:r>
              <w:rPr>
                <w:rFonts w:hint="eastAsia" w:ascii="宋体" w:hAnsi="宋体" w:cs="宋体"/>
                <w:kern w:val="0"/>
                <w:sz w:val="20"/>
                <w:szCs w:val="20"/>
              </w:rPr>
              <w:t>本地存储客流统计数据功能：存储时间应不少于30天的客流统计数据，客流分析主机断电后，统计数据不应丢失，供电恢复后设备能将数据上传；</w:t>
            </w:r>
            <w:r>
              <w:rPr>
                <w:rFonts w:hint="eastAsia" w:ascii="宋体" w:hAnsi="宋体" w:cs="宋体"/>
                <w:kern w:val="0"/>
                <w:sz w:val="20"/>
                <w:szCs w:val="20"/>
              </w:rPr>
              <w:br w:type="textWrapping"/>
            </w:r>
            <w:r>
              <w:rPr>
                <w:rFonts w:hint="eastAsia" w:ascii="宋体" w:hAnsi="宋体" w:cs="宋体"/>
                <w:kern w:val="0"/>
                <w:sz w:val="20"/>
                <w:szCs w:val="20"/>
              </w:rPr>
              <w:t>数据传输功能：支持可通过网络将客流统计数据传输至客户端；</w:t>
            </w:r>
            <w:r>
              <w:rPr>
                <w:rFonts w:hint="eastAsia" w:ascii="宋体" w:hAnsi="宋体" w:cs="宋体"/>
                <w:kern w:val="0"/>
                <w:sz w:val="20"/>
                <w:szCs w:val="20"/>
              </w:rPr>
              <w:br w:type="textWrapping"/>
            </w:r>
            <w:r>
              <w:rPr>
                <w:rFonts w:hint="eastAsia" w:ascii="宋体" w:hAnsi="宋体" w:cs="宋体"/>
                <w:kern w:val="0"/>
                <w:sz w:val="20"/>
                <w:szCs w:val="20"/>
              </w:rPr>
              <w:t>Wi-Fi探针功能：可主动获取手机用户MAC地址功能，获取开启Wi-Fi功能的手机用户MAC地址，并在客户端以列表方式显示获取的用户MAC地址、数量。；</w:t>
            </w:r>
            <w:r>
              <w:rPr>
                <w:rFonts w:hint="eastAsia" w:ascii="宋体" w:hAnsi="宋体" w:cs="宋体"/>
                <w:kern w:val="0"/>
                <w:sz w:val="20"/>
                <w:szCs w:val="20"/>
              </w:rPr>
              <w:br w:type="textWrapping"/>
            </w:r>
            <w:r>
              <w:rPr>
                <w:rFonts w:hint="eastAsia" w:ascii="宋体" w:hAnsi="宋体" w:cs="宋体"/>
                <w:kern w:val="0"/>
                <w:sz w:val="20"/>
                <w:szCs w:val="20"/>
              </w:rPr>
              <w:t>供电：POE供电；功耗：小于4W；</w:t>
            </w:r>
            <w:r>
              <w:rPr>
                <w:rFonts w:hint="eastAsia" w:ascii="宋体" w:hAnsi="宋体" w:cs="宋体"/>
                <w:kern w:val="0"/>
                <w:sz w:val="20"/>
                <w:szCs w:val="20"/>
              </w:rPr>
              <w:br w:type="textWrapping"/>
            </w:r>
            <w:r>
              <w:rPr>
                <w:rFonts w:hint="eastAsia" w:ascii="宋体" w:hAnsi="宋体" w:cs="宋体"/>
                <w:kern w:val="0"/>
                <w:sz w:val="20"/>
                <w:szCs w:val="20"/>
              </w:rPr>
              <w:t>防护等级： IP66；工作温度：-20℃~70℃；工作湿度：小于90% RH；外观：隐蔽、美观；其他特性：防尘、安全；</w:t>
            </w:r>
            <w:r>
              <w:rPr>
                <w:rFonts w:hint="eastAsia" w:ascii="宋体" w:hAnsi="宋体" w:cs="宋体"/>
                <w:kern w:val="0"/>
                <w:sz w:val="20"/>
                <w:szCs w:val="20"/>
              </w:rPr>
              <w:br w:type="textWrapping"/>
            </w:r>
            <w:r>
              <w:rPr>
                <w:rFonts w:hint="eastAsia" w:ascii="宋体" w:hAnsi="宋体" w:cs="宋体"/>
                <w:kern w:val="0"/>
                <w:sz w:val="20"/>
                <w:szCs w:val="20"/>
              </w:rPr>
              <w:t>包含Beacon模块</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168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自动感应巡更棒</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 结构介绍：合金外壳、外壳胶套、硅胶内胆、亚克力面板</w:t>
            </w:r>
            <w:r>
              <w:rPr>
                <w:rFonts w:hint="eastAsia" w:ascii="宋体" w:hAnsi="宋体" w:cs="宋体"/>
                <w:kern w:val="0"/>
                <w:sz w:val="20"/>
                <w:szCs w:val="20"/>
              </w:rPr>
              <w:br w:type="textWrapping"/>
            </w:r>
            <w:r>
              <w:rPr>
                <w:rFonts w:hint="eastAsia" w:ascii="宋体" w:hAnsi="宋体" w:cs="宋体"/>
                <w:kern w:val="0"/>
                <w:sz w:val="20"/>
                <w:szCs w:val="20"/>
              </w:rPr>
              <w:t>2. 防护等级：IP67（6：完全防止粉尘进入  7：可于短时间内耐浸水（ 1m ））</w:t>
            </w:r>
            <w:r>
              <w:rPr>
                <w:rFonts w:hint="eastAsia" w:ascii="宋体" w:hAnsi="宋体" w:cs="宋体"/>
                <w:kern w:val="0"/>
                <w:sz w:val="20"/>
                <w:szCs w:val="20"/>
              </w:rPr>
              <w:br w:type="textWrapping"/>
            </w:r>
            <w:r>
              <w:rPr>
                <w:rFonts w:hint="eastAsia" w:ascii="宋体" w:hAnsi="宋体" w:cs="宋体"/>
                <w:kern w:val="0"/>
                <w:sz w:val="20"/>
                <w:szCs w:val="20"/>
              </w:rPr>
              <w:t>3. 超长待机：880mAh聚合物锂电池，读卡500次/天，29天</w:t>
            </w:r>
            <w:r>
              <w:rPr>
                <w:rFonts w:hint="eastAsia" w:ascii="宋体" w:hAnsi="宋体" w:cs="宋体"/>
                <w:kern w:val="0"/>
                <w:sz w:val="20"/>
                <w:szCs w:val="20"/>
              </w:rPr>
              <w:br w:type="textWrapping"/>
            </w:r>
            <w:r>
              <w:rPr>
                <w:rFonts w:hint="eastAsia" w:ascii="宋体" w:hAnsi="宋体" w:cs="宋体"/>
                <w:kern w:val="0"/>
                <w:sz w:val="20"/>
                <w:szCs w:val="20"/>
              </w:rPr>
              <w:t>4. 状态提示：读卡时蓝灯亮1秒振动1次</w:t>
            </w:r>
            <w:r>
              <w:rPr>
                <w:rFonts w:hint="eastAsia" w:ascii="宋体" w:hAnsi="宋体" w:cs="宋体"/>
                <w:kern w:val="0"/>
                <w:sz w:val="20"/>
                <w:szCs w:val="20"/>
              </w:rPr>
              <w:br w:type="textWrapping"/>
            </w:r>
            <w:r>
              <w:rPr>
                <w:rFonts w:hint="eastAsia" w:ascii="宋体" w:hAnsi="宋体" w:cs="宋体"/>
                <w:kern w:val="0"/>
                <w:sz w:val="20"/>
                <w:szCs w:val="20"/>
              </w:rPr>
              <w:t>5. 数据存储：6万条数据</w:t>
            </w:r>
            <w:r>
              <w:rPr>
                <w:rFonts w:hint="eastAsia" w:ascii="宋体" w:hAnsi="宋体" w:cs="宋体"/>
                <w:kern w:val="0"/>
                <w:sz w:val="20"/>
                <w:szCs w:val="20"/>
              </w:rPr>
              <w:br w:type="textWrapping"/>
            </w:r>
            <w:r>
              <w:rPr>
                <w:rFonts w:hint="eastAsia" w:ascii="宋体" w:hAnsi="宋体" w:cs="宋体"/>
                <w:kern w:val="0"/>
                <w:sz w:val="20"/>
                <w:szCs w:val="20"/>
              </w:rPr>
              <w:t>6. 通讯方式：防水、防破坏全新型触点式USB通讯，每分钟上传数据15000条</w:t>
            </w:r>
            <w:r>
              <w:rPr>
                <w:rFonts w:hint="eastAsia" w:ascii="宋体" w:hAnsi="宋体" w:cs="宋体"/>
                <w:kern w:val="0"/>
                <w:sz w:val="20"/>
                <w:szCs w:val="20"/>
              </w:rPr>
              <w:br w:type="textWrapping"/>
            </w:r>
            <w:r>
              <w:rPr>
                <w:rFonts w:hint="eastAsia" w:ascii="宋体" w:hAnsi="宋体" w:cs="宋体"/>
                <w:kern w:val="0"/>
                <w:sz w:val="20"/>
                <w:szCs w:val="20"/>
              </w:rPr>
              <w:t>7. 产品尺寸：144 mm×47 mm×30 mm</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96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巡更点</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 应用环境：坚固耐用，可在各种恶劣环境中使用</w:t>
            </w:r>
            <w:r>
              <w:rPr>
                <w:rFonts w:hint="eastAsia" w:ascii="宋体" w:hAnsi="宋体" w:cs="宋体"/>
                <w:kern w:val="0"/>
                <w:sz w:val="20"/>
                <w:szCs w:val="20"/>
              </w:rPr>
              <w:br w:type="textWrapping"/>
            </w:r>
            <w:r>
              <w:rPr>
                <w:rFonts w:hint="eastAsia" w:ascii="宋体" w:hAnsi="宋体" w:cs="宋体"/>
                <w:kern w:val="0"/>
                <w:sz w:val="20"/>
                <w:szCs w:val="20"/>
              </w:rPr>
              <w:t>2. 使用寿命：&gt;20年</w:t>
            </w:r>
            <w:r>
              <w:rPr>
                <w:rFonts w:hint="eastAsia" w:ascii="宋体" w:hAnsi="宋体" w:cs="宋体"/>
                <w:kern w:val="0"/>
                <w:sz w:val="20"/>
                <w:szCs w:val="20"/>
              </w:rPr>
              <w:br w:type="textWrapping"/>
            </w:r>
            <w:r>
              <w:rPr>
                <w:rFonts w:hint="eastAsia" w:ascii="宋体" w:hAnsi="宋体" w:cs="宋体"/>
                <w:kern w:val="0"/>
                <w:sz w:val="20"/>
                <w:szCs w:val="20"/>
              </w:rPr>
              <w:t>3. 供电方式：巡更点无需电源，无需布线，具备夜视功能</w:t>
            </w:r>
            <w:r>
              <w:rPr>
                <w:rFonts w:hint="eastAsia" w:ascii="宋体" w:hAnsi="宋体" w:cs="宋体"/>
                <w:kern w:val="0"/>
                <w:sz w:val="20"/>
                <w:szCs w:val="20"/>
              </w:rPr>
              <w:br w:type="textWrapping"/>
            </w:r>
            <w:r>
              <w:rPr>
                <w:rFonts w:hint="eastAsia" w:ascii="宋体" w:hAnsi="宋体" w:cs="宋体"/>
                <w:kern w:val="0"/>
                <w:sz w:val="20"/>
                <w:szCs w:val="20"/>
              </w:rPr>
              <w:t>4. 产品尺寸：76mm×56mm</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60</w:t>
            </w: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电脑</w:t>
            </w:r>
          </w:p>
        </w:tc>
        <w:tc>
          <w:tcPr>
            <w:tcW w:w="5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I5/8G/1T+256SSD/1G独显19"LED/键盘鼠标/WIN7PRO</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辅材</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bl>
    <w:p>
      <w:pPr>
        <w:pStyle w:val="4"/>
        <w:spacing w:line="360" w:lineRule="auto"/>
        <w:rPr>
          <w:rFonts w:hAnsi="宋体"/>
          <w:sz w:val="24"/>
          <w:szCs w:val="24"/>
        </w:rPr>
      </w:pPr>
      <w:bookmarkStart w:id="23" w:name="_Toc29394985"/>
      <w:r>
        <w:rPr>
          <w:rFonts w:hint="eastAsia" w:hAnsi="宋体"/>
          <w:sz w:val="24"/>
          <w:szCs w:val="24"/>
        </w:rPr>
        <w:t>七、广播系统</w:t>
      </w:r>
      <w:bookmarkEnd w:id="11"/>
      <w:bookmarkEnd w:id="12"/>
      <w:bookmarkEnd w:id="13"/>
      <w:bookmarkEnd w:id="14"/>
      <w:bookmarkEnd w:id="23"/>
    </w:p>
    <w:p>
      <w:pPr>
        <w:spacing w:line="420" w:lineRule="exact"/>
        <w:ind w:firstLine="480"/>
        <w:rPr>
          <w:rFonts w:ascii="宋体" w:hAnsi="宋体"/>
          <w:sz w:val="24"/>
        </w:rPr>
      </w:pPr>
      <w:r>
        <w:rPr>
          <w:rFonts w:hint="eastAsia" w:ascii="宋体" w:hAnsi="宋体"/>
          <w:sz w:val="24"/>
        </w:rPr>
        <w:t>根据广播系统应用需求，结合商业综合体建设环境也已成型的实际情况，整体规模大，功能分区明确等，实现每个楼层单独分区，可实现不同分区播放不同节目源，便于播放背景音乐及寻人启事。</w:t>
      </w:r>
    </w:p>
    <w:p>
      <w:pPr>
        <w:spacing w:line="420" w:lineRule="exact"/>
        <w:ind w:firstLine="480"/>
        <w:rPr>
          <w:rFonts w:ascii="宋体" w:hAnsi="宋体"/>
          <w:sz w:val="24"/>
        </w:rPr>
      </w:pPr>
      <w:r>
        <w:rPr>
          <w:rFonts w:hint="eastAsia" w:ascii="宋体" w:hAnsi="宋体"/>
          <w:sz w:val="24"/>
        </w:rPr>
        <w:t>公共广播系统总体架构设计包含了音源部分、控制部分、功率放大部分、扬声器部分以及传输介质，分为两级管理控制，三大区域相对独立运行。</w:t>
      </w:r>
    </w:p>
    <w:p>
      <w:pPr>
        <w:spacing w:line="420" w:lineRule="exact"/>
        <w:ind w:firstLine="480"/>
        <w:rPr>
          <w:rFonts w:ascii="宋体" w:hAnsi="宋体"/>
          <w:sz w:val="24"/>
        </w:rPr>
      </w:pPr>
      <w:r>
        <w:rPr>
          <w:rFonts w:hint="eastAsia" w:ascii="宋体" w:hAnsi="宋体"/>
          <w:sz w:val="24"/>
        </w:rPr>
        <w:t>关于和消防系统对接问题，根据要求，可通过相应模块方便接入，分区单独报警、全区报警、邻区报警等功能，并实现不涉及整个系统架构调整和业内各项系统正常运行。</w:t>
      </w:r>
    </w:p>
    <w:p>
      <w:pPr>
        <w:spacing w:line="420" w:lineRule="exact"/>
        <w:ind w:firstLine="480"/>
        <w:rPr>
          <w:rFonts w:ascii="宋体" w:hAnsi="宋体"/>
          <w:sz w:val="24"/>
        </w:rPr>
      </w:pPr>
      <w:r>
        <w:rPr>
          <w:rFonts w:hint="eastAsia" w:ascii="宋体" w:hAnsi="宋体"/>
          <w:sz w:val="24"/>
        </w:rPr>
        <w:t>优先级控制和权限分配建议如下</w:t>
      </w:r>
    </w:p>
    <w:p>
      <w:pPr>
        <w:spacing w:line="420" w:lineRule="exact"/>
        <w:ind w:firstLine="480"/>
        <w:rPr>
          <w:rFonts w:ascii="宋体" w:hAnsi="宋体"/>
          <w:sz w:val="24"/>
        </w:rPr>
      </w:pPr>
      <w:r>
        <w:rPr>
          <w:rFonts w:hint="eastAsia" w:ascii="宋体" w:hAnsi="宋体"/>
          <w:sz w:val="24"/>
        </w:rPr>
        <w:t>一、消防广播</w:t>
      </w:r>
    </w:p>
    <w:p>
      <w:pPr>
        <w:spacing w:line="420" w:lineRule="exact"/>
        <w:ind w:firstLine="480"/>
        <w:rPr>
          <w:rFonts w:ascii="宋体" w:hAnsi="宋体"/>
          <w:sz w:val="24"/>
        </w:rPr>
      </w:pPr>
      <w:r>
        <w:rPr>
          <w:rFonts w:hint="eastAsia" w:ascii="宋体" w:hAnsi="宋体"/>
          <w:sz w:val="24"/>
        </w:rPr>
        <w:t>二、广播控制中心人工广播</w:t>
      </w:r>
    </w:p>
    <w:p>
      <w:pPr>
        <w:spacing w:line="420" w:lineRule="exact"/>
        <w:ind w:firstLine="480"/>
        <w:rPr>
          <w:rFonts w:ascii="宋体" w:hAnsi="宋体"/>
          <w:sz w:val="24"/>
        </w:rPr>
      </w:pPr>
      <w:r>
        <w:rPr>
          <w:rFonts w:hint="eastAsia" w:ascii="宋体" w:hAnsi="宋体"/>
          <w:sz w:val="24"/>
        </w:rPr>
        <w:t>三、自动广播</w:t>
      </w:r>
    </w:p>
    <w:p>
      <w:pPr>
        <w:spacing w:line="420" w:lineRule="exact"/>
        <w:ind w:firstLine="480"/>
        <w:rPr>
          <w:rFonts w:ascii="宋体" w:hAnsi="宋体"/>
          <w:sz w:val="24"/>
        </w:rPr>
      </w:pPr>
      <w:r>
        <w:rPr>
          <w:rFonts w:hint="eastAsia" w:ascii="宋体" w:hAnsi="宋体"/>
          <w:sz w:val="24"/>
        </w:rPr>
        <w:t>四、现场区域的分控广播</w:t>
      </w:r>
    </w:p>
    <w:p>
      <w:pPr>
        <w:spacing w:line="420" w:lineRule="exact"/>
        <w:ind w:firstLine="480"/>
        <w:rPr>
          <w:rFonts w:ascii="宋体" w:hAnsi="宋体"/>
          <w:sz w:val="24"/>
        </w:rPr>
      </w:pPr>
      <w:r>
        <w:rPr>
          <w:rFonts w:hint="eastAsia" w:ascii="宋体" w:hAnsi="宋体"/>
          <w:sz w:val="24"/>
        </w:rPr>
        <w:t>五、背景音乐广播</w:t>
      </w:r>
    </w:p>
    <w:p>
      <w:pPr>
        <w:spacing w:line="420" w:lineRule="exact"/>
        <w:ind w:firstLine="480"/>
        <w:rPr>
          <w:rFonts w:ascii="宋体" w:hAnsi="宋体"/>
          <w:sz w:val="24"/>
        </w:rPr>
      </w:pPr>
      <w:r>
        <w:rPr>
          <w:rFonts w:hint="eastAsia" w:ascii="宋体" w:hAnsi="宋体"/>
          <w:sz w:val="24"/>
        </w:rPr>
        <w:t>广播人员的权限高低顺序建议如下</w:t>
      </w:r>
    </w:p>
    <w:p>
      <w:pPr>
        <w:spacing w:line="420" w:lineRule="exact"/>
        <w:ind w:firstLine="480"/>
        <w:rPr>
          <w:rFonts w:ascii="宋体" w:hAnsi="宋体"/>
          <w:sz w:val="24"/>
        </w:rPr>
      </w:pPr>
      <w:r>
        <w:rPr>
          <w:rFonts w:hint="eastAsia" w:ascii="宋体" w:hAnsi="宋体"/>
          <w:sz w:val="24"/>
        </w:rPr>
        <w:t>一、广播控制中心广播员</w:t>
      </w:r>
    </w:p>
    <w:p>
      <w:pPr>
        <w:spacing w:line="420" w:lineRule="exact"/>
        <w:ind w:firstLine="480"/>
        <w:rPr>
          <w:rFonts w:ascii="宋体" w:hAnsi="宋体"/>
          <w:sz w:val="24"/>
        </w:rPr>
      </w:pPr>
      <w:r>
        <w:rPr>
          <w:rFonts w:hint="eastAsia" w:ascii="宋体" w:hAnsi="宋体"/>
          <w:sz w:val="24"/>
        </w:rPr>
        <w:t>二、各区域广播的工作人员</w:t>
      </w:r>
    </w:p>
    <w:p>
      <w:pPr>
        <w:spacing w:line="420" w:lineRule="exact"/>
        <w:ind w:firstLine="480"/>
        <w:rPr>
          <w:rFonts w:ascii="宋体" w:hAnsi="宋体"/>
          <w:sz w:val="24"/>
        </w:rPr>
      </w:pPr>
      <w:r>
        <w:rPr>
          <w:rFonts w:hint="eastAsia" w:ascii="宋体" w:hAnsi="宋体"/>
          <w:sz w:val="24"/>
        </w:rPr>
        <w:t>三、优先级的顺序和权限的高低可以灵活调整。</w:t>
      </w:r>
    </w:p>
    <w:p>
      <w:pPr>
        <w:spacing w:line="420" w:lineRule="exact"/>
        <w:ind w:firstLine="480"/>
        <w:rPr>
          <w:rFonts w:ascii="宋体" w:hAnsi="宋体"/>
          <w:sz w:val="24"/>
        </w:rPr>
      </w:pPr>
      <w:r>
        <w:rPr>
          <w:rFonts w:hint="eastAsia" w:ascii="宋体" w:hAnsi="宋体"/>
          <w:sz w:val="24"/>
        </w:rPr>
        <w:t>广播分组</w:t>
      </w:r>
    </w:p>
    <w:p>
      <w:pPr>
        <w:spacing w:line="420" w:lineRule="exact"/>
        <w:ind w:firstLine="480"/>
        <w:rPr>
          <w:rFonts w:ascii="宋体" w:hAnsi="宋体"/>
          <w:sz w:val="24"/>
        </w:rPr>
      </w:pPr>
      <w:r>
        <w:rPr>
          <w:rFonts w:hint="eastAsia" w:ascii="宋体" w:hAnsi="宋体"/>
          <w:sz w:val="24"/>
        </w:rPr>
        <w:t>广播系统支持分组功能，系统主机将常用的广播分区通过配置软件进行组合定义成组，方便选区。</w:t>
      </w:r>
    </w:p>
    <w:p>
      <w:pPr>
        <w:spacing w:line="420" w:lineRule="exact"/>
        <w:ind w:firstLine="480"/>
        <w:rPr>
          <w:rFonts w:ascii="宋体" w:hAnsi="宋体"/>
          <w:sz w:val="24"/>
        </w:rPr>
      </w:pPr>
      <w:r>
        <w:rPr>
          <w:rFonts w:hint="eastAsia" w:ascii="宋体" w:hAnsi="宋体"/>
          <w:sz w:val="24"/>
        </w:rPr>
        <w:t>预示音：系统内置的预示音提示有多种，可通过配置软件进行选用。</w:t>
      </w:r>
    </w:p>
    <w:p>
      <w:pPr>
        <w:spacing w:line="420" w:lineRule="exact"/>
        <w:ind w:firstLine="480"/>
        <w:rPr>
          <w:rFonts w:ascii="宋体" w:hAnsi="宋体"/>
          <w:sz w:val="24"/>
        </w:rPr>
      </w:pPr>
      <w:r>
        <w:rPr>
          <w:rFonts w:hint="eastAsia" w:ascii="宋体" w:hAnsi="宋体"/>
          <w:sz w:val="24"/>
        </w:rPr>
        <w:t>录音：系统具有录音功能，对所有人工广播内容可以进行实时录音。</w:t>
      </w:r>
    </w:p>
    <w:p>
      <w:pPr>
        <w:spacing w:line="420" w:lineRule="exact"/>
        <w:ind w:firstLine="480"/>
        <w:rPr>
          <w:rFonts w:ascii="宋体" w:hAnsi="宋体"/>
          <w:sz w:val="24"/>
        </w:rPr>
      </w:pPr>
      <w:r>
        <w:rPr>
          <w:rFonts w:hint="eastAsia" w:ascii="宋体" w:hAnsi="宋体"/>
          <w:sz w:val="24"/>
        </w:rPr>
        <w:t>监听：系统具有选区监听功能，可对各广播区进行监听，根据监听音量可进行调整。</w:t>
      </w:r>
    </w:p>
    <w:p>
      <w:pPr>
        <w:spacing w:line="420" w:lineRule="exact"/>
        <w:ind w:firstLine="480"/>
        <w:rPr>
          <w:rFonts w:ascii="宋体" w:hAnsi="宋体"/>
          <w:sz w:val="24"/>
        </w:rPr>
      </w:pPr>
      <w:r>
        <w:rPr>
          <w:rFonts w:hint="eastAsia" w:ascii="宋体" w:hAnsi="宋体"/>
          <w:sz w:val="24"/>
        </w:rPr>
        <w:t>信源试听：系统具有试听语音合成信源的功能，在信源播出之前需经过广播员的审核。</w:t>
      </w:r>
    </w:p>
    <w:p>
      <w:pPr>
        <w:spacing w:line="420" w:lineRule="exact"/>
        <w:ind w:firstLine="480"/>
        <w:rPr>
          <w:rFonts w:ascii="宋体" w:hAnsi="宋体"/>
          <w:sz w:val="24"/>
        </w:rPr>
      </w:pPr>
      <w:r>
        <w:rPr>
          <w:rFonts w:hint="eastAsia" w:ascii="宋体" w:hAnsi="宋体"/>
          <w:sz w:val="24"/>
        </w:rPr>
        <w:t>音量调整：广播员可以在广播控制中心通过调节功放或通过及集成平台来调节系统的音量。</w:t>
      </w:r>
    </w:p>
    <w:p>
      <w:pPr>
        <w:spacing w:line="420" w:lineRule="exact"/>
        <w:ind w:firstLine="480"/>
        <w:rPr>
          <w:rFonts w:ascii="宋体" w:hAnsi="宋体"/>
          <w:sz w:val="24"/>
        </w:rPr>
      </w:pPr>
    </w:p>
    <w:p>
      <w:pPr>
        <w:spacing w:line="420" w:lineRule="exact"/>
        <w:ind w:firstLine="480"/>
        <w:rPr>
          <w:rFonts w:ascii="宋体" w:hAnsi="宋体"/>
          <w:sz w:val="24"/>
        </w:rPr>
      </w:pPr>
    </w:p>
    <w:p>
      <w:pPr>
        <w:rPr>
          <w:rFonts w:ascii="宋体" w:hAnsi="宋体"/>
          <w:sz w:val="24"/>
        </w:rPr>
      </w:pPr>
    </w:p>
    <w:p>
      <w:pPr>
        <w:jc w:val="center"/>
        <w:rPr>
          <w:rFonts w:ascii="宋体" w:hAnsi="宋体"/>
          <w:b/>
          <w:sz w:val="24"/>
        </w:rPr>
      </w:pPr>
      <w:r>
        <w:rPr>
          <w:rFonts w:hint="eastAsia" w:ascii="宋体" w:hAnsi="宋体"/>
          <w:b/>
          <w:sz w:val="24"/>
        </w:rPr>
        <w:t>广播系统设备清单</w:t>
      </w:r>
    </w:p>
    <w:tbl>
      <w:tblPr>
        <w:tblStyle w:val="24"/>
        <w:tblW w:w="9420" w:type="dxa"/>
        <w:tblInd w:w="118" w:type="dxa"/>
        <w:tblLayout w:type="autofit"/>
        <w:tblCellMar>
          <w:top w:w="0" w:type="dxa"/>
          <w:left w:w="108" w:type="dxa"/>
          <w:bottom w:w="0" w:type="dxa"/>
          <w:right w:w="108" w:type="dxa"/>
        </w:tblCellMar>
      </w:tblPr>
      <w:tblGrid>
        <w:gridCol w:w="1034"/>
        <w:gridCol w:w="1515"/>
        <w:gridCol w:w="5122"/>
        <w:gridCol w:w="678"/>
        <w:gridCol w:w="1071"/>
      </w:tblGrid>
      <w:tr>
        <w:tblPrEx>
          <w:tblCellMar>
            <w:top w:w="0" w:type="dxa"/>
            <w:left w:w="108" w:type="dxa"/>
            <w:bottom w:w="0" w:type="dxa"/>
            <w:right w:w="108" w:type="dxa"/>
          </w:tblCellMar>
        </w:tblPrEx>
        <w:trPr>
          <w:trHeight w:val="240" w:hRule="atLeast"/>
        </w:trPr>
        <w:tc>
          <w:tcPr>
            <w:tcW w:w="1034"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设备名称</w:t>
            </w:r>
          </w:p>
        </w:tc>
        <w:tc>
          <w:tcPr>
            <w:tcW w:w="51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技术参数</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单位</w:t>
            </w:r>
          </w:p>
        </w:tc>
        <w:tc>
          <w:tcPr>
            <w:tcW w:w="10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数量</w:t>
            </w:r>
          </w:p>
        </w:tc>
      </w:tr>
      <w:tr>
        <w:tblPrEx>
          <w:tblCellMar>
            <w:top w:w="0" w:type="dxa"/>
            <w:left w:w="108" w:type="dxa"/>
            <w:bottom w:w="0" w:type="dxa"/>
            <w:right w:w="108" w:type="dxa"/>
          </w:tblCellMar>
        </w:tblPrEx>
        <w:trPr>
          <w:trHeight w:val="240" w:hRule="atLeast"/>
        </w:trPr>
        <w:tc>
          <w:tcPr>
            <w:tcW w:w="9420" w:type="dxa"/>
            <w:gridSpan w:val="5"/>
            <w:tcBorders>
              <w:top w:val="single" w:color="auto" w:sz="4" w:space="0"/>
              <w:left w:val="single" w:color="auto" w:sz="8" w:space="0"/>
              <w:bottom w:val="single" w:color="auto" w:sz="4" w:space="0"/>
              <w:right w:val="nil"/>
            </w:tcBorders>
            <w:shd w:val="clear" w:color="auto" w:fill="auto"/>
            <w:noWrap/>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一、外置音源：</w:t>
            </w:r>
          </w:p>
        </w:tc>
      </w:tr>
      <w:tr>
        <w:tblPrEx>
          <w:tblCellMar>
            <w:top w:w="0" w:type="dxa"/>
            <w:left w:w="108" w:type="dxa"/>
            <w:bottom w:w="0" w:type="dxa"/>
            <w:right w:w="108" w:type="dxa"/>
          </w:tblCellMar>
        </w:tblPrEx>
        <w:trPr>
          <w:trHeight w:val="4950" w:hRule="atLeast"/>
        </w:trPr>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51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MP3播放器（USB）</w:t>
            </w:r>
          </w:p>
        </w:tc>
        <w:tc>
          <w:tcPr>
            <w:tcW w:w="512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内部含有ARM芯片，采用多功能音频处理芯片，可对U盘内的音频文件进行播放，面板拉丝设计，美观大方，采用LCD液晶显示，清晰直观，插入U盘后自动播放。</w:t>
            </w:r>
            <w:r>
              <w:rPr>
                <w:rFonts w:hint="eastAsia" w:ascii="宋体" w:hAnsi="宋体" w:cs="宋体"/>
                <w:kern w:val="0"/>
                <w:sz w:val="18"/>
                <w:szCs w:val="18"/>
              </w:rPr>
              <w:br w:type="textWrapping"/>
            </w:r>
            <w:r>
              <w:rPr>
                <w:rFonts w:hint="eastAsia" w:ascii="宋体" w:hAnsi="宋体" w:cs="宋体"/>
                <w:kern w:val="0"/>
                <w:sz w:val="18"/>
                <w:szCs w:val="18"/>
              </w:rPr>
              <w:t>★面板1路USB接口，能对U盘中音频文件进行播放及操作。通电后，插入U盘后自动播放。</w:t>
            </w:r>
            <w:r>
              <w:rPr>
                <w:rFonts w:hint="eastAsia" w:ascii="宋体" w:hAnsi="宋体" w:cs="宋体"/>
                <w:kern w:val="0"/>
                <w:sz w:val="18"/>
                <w:szCs w:val="18"/>
              </w:rPr>
              <w:br w:type="textWrapping"/>
            </w:r>
            <w:r>
              <w:rPr>
                <w:rFonts w:hint="eastAsia" w:ascii="宋体" w:hAnsi="宋体" w:cs="宋体"/>
                <w:kern w:val="0"/>
                <w:sz w:val="18"/>
                <w:szCs w:val="18"/>
              </w:rPr>
              <w:t>★1路USB接口输入，可同时2路不同音源独立输出。</w:t>
            </w:r>
            <w:r>
              <w:rPr>
                <w:rFonts w:hint="eastAsia" w:ascii="宋体" w:hAnsi="宋体" w:cs="宋体"/>
                <w:kern w:val="0"/>
                <w:sz w:val="18"/>
                <w:szCs w:val="18"/>
              </w:rPr>
              <w:br w:type="textWrapping"/>
            </w:r>
            <w:r>
              <w:rPr>
                <w:rFonts w:hint="eastAsia" w:ascii="宋体" w:hAnsi="宋体" w:cs="宋体"/>
                <w:kern w:val="0"/>
                <w:sz w:val="18"/>
                <w:szCs w:val="18"/>
              </w:rPr>
              <w:t>★面板LCD液晶显示，显示通道号、曲目号、通道状态、音量、音量值等信息。</w:t>
            </w:r>
            <w:r>
              <w:rPr>
                <w:rFonts w:hint="eastAsia" w:ascii="宋体" w:hAnsi="宋体" w:cs="宋体"/>
                <w:kern w:val="0"/>
                <w:sz w:val="18"/>
                <w:szCs w:val="18"/>
              </w:rPr>
              <w:br w:type="textWrapping"/>
            </w:r>
            <w:r>
              <w:rPr>
                <w:rFonts w:hint="eastAsia" w:ascii="宋体" w:hAnsi="宋体" w:cs="宋体"/>
                <w:kern w:val="0"/>
                <w:sz w:val="18"/>
                <w:szCs w:val="18"/>
              </w:rPr>
              <w:t>1路RS232控制端口，广播音频中央控制器可以选择歌曲。</w:t>
            </w:r>
            <w:r>
              <w:rPr>
                <w:rFonts w:hint="eastAsia" w:ascii="宋体" w:hAnsi="宋体" w:cs="宋体"/>
                <w:kern w:val="0"/>
                <w:sz w:val="18"/>
                <w:szCs w:val="18"/>
              </w:rPr>
              <w:br w:type="textWrapping"/>
            </w:r>
            <w:r>
              <w:rPr>
                <w:rFonts w:hint="eastAsia" w:ascii="宋体" w:hAnsi="宋体" w:cs="宋体"/>
                <w:kern w:val="0"/>
                <w:sz w:val="18"/>
                <w:szCs w:val="18"/>
              </w:rPr>
              <w:t>后面板有2路音频输出接口，可以输出相同音频文件，也可以输出不同的音频文件。</w:t>
            </w:r>
            <w:r>
              <w:rPr>
                <w:rFonts w:hint="eastAsia" w:ascii="宋体" w:hAnsi="宋体" w:cs="宋体"/>
                <w:kern w:val="0"/>
                <w:sz w:val="18"/>
                <w:szCs w:val="18"/>
              </w:rPr>
              <w:br w:type="textWrapping"/>
            </w:r>
            <w:r>
              <w:rPr>
                <w:rFonts w:hint="eastAsia" w:ascii="宋体" w:hAnsi="宋体" w:cs="宋体"/>
                <w:kern w:val="0"/>
                <w:sz w:val="18"/>
                <w:szCs w:val="18"/>
              </w:rPr>
              <w:t>音频播放可以是 “顺序播放” “循环播放” “一次播放”，播放中能进行 “停”“暂停”“上一曲”“下一曲”“音量+”“音量-”手动操作。</w:t>
            </w:r>
            <w:r>
              <w:rPr>
                <w:rFonts w:hint="eastAsia" w:ascii="宋体" w:hAnsi="宋体" w:cs="宋体"/>
                <w:kern w:val="0"/>
                <w:sz w:val="18"/>
                <w:szCs w:val="18"/>
              </w:rPr>
              <w:br w:type="textWrapping"/>
            </w:r>
            <w:r>
              <w:rPr>
                <w:rFonts w:hint="eastAsia" w:ascii="宋体" w:hAnsi="宋体" w:cs="宋体"/>
                <w:kern w:val="0"/>
                <w:sz w:val="18"/>
                <w:szCs w:val="18"/>
              </w:rPr>
              <w:t>★总谐波失真：≤0.1 %</w:t>
            </w:r>
            <w:r>
              <w:rPr>
                <w:rFonts w:hint="eastAsia" w:ascii="宋体" w:hAnsi="宋体" w:cs="宋体"/>
                <w:kern w:val="0"/>
                <w:sz w:val="18"/>
                <w:szCs w:val="18"/>
              </w:rPr>
              <w:br w:type="textWrapping"/>
            </w:r>
            <w:r>
              <w:rPr>
                <w:rFonts w:hint="eastAsia" w:ascii="宋体" w:hAnsi="宋体" w:cs="宋体"/>
                <w:kern w:val="0"/>
                <w:sz w:val="18"/>
                <w:szCs w:val="18"/>
              </w:rPr>
              <w:t>★动态范围（DAC非静音）：≥90 dB</w:t>
            </w:r>
            <w:r>
              <w:rPr>
                <w:rFonts w:hint="eastAsia" w:ascii="宋体" w:hAnsi="宋体" w:cs="宋体"/>
                <w:kern w:val="0"/>
                <w:sz w:val="18"/>
                <w:szCs w:val="18"/>
              </w:rPr>
              <w:br w:type="textWrapping"/>
            </w:r>
            <w:r>
              <w:rPr>
                <w:rFonts w:hint="eastAsia" w:ascii="宋体" w:hAnsi="宋体" w:cs="宋体"/>
                <w:kern w:val="0"/>
                <w:sz w:val="18"/>
                <w:szCs w:val="18"/>
              </w:rPr>
              <w:t>★信噪比（完整信号）：≥70 dB</w:t>
            </w:r>
            <w:r>
              <w:rPr>
                <w:rFonts w:hint="eastAsia" w:ascii="宋体" w:hAnsi="宋体" w:cs="宋体"/>
                <w:kern w:val="0"/>
                <w:sz w:val="18"/>
                <w:szCs w:val="18"/>
              </w:rPr>
              <w:br w:type="textWrapping"/>
            </w:r>
            <w:r>
              <w:rPr>
                <w:rFonts w:hint="eastAsia" w:ascii="宋体" w:hAnsi="宋体" w:cs="宋体"/>
                <w:kern w:val="0"/>
                <w:sz w:val="18"/>
                <w:szCs w:val="18"/>
              </w:rPr>
              <w:t>★通道隔离度：≥75 dB</w:t>
            </w:r>
            <w:r>
              <w:rPr>
                <w:rFonts w:hint="eastAsia" w:ascii="宋体" w:hAnsi="宋体" w:cs="宋体"/>
                <w:kern w:val="0"/>
                <w:sz w:val="18"/>
                <w:szCs w:val="18"/>
              </w:rPr>
              <w:br w:type="textWrapping"/>
            </w:r>
            <w:r>
              <w:rPr>
                <w:rFonts w:hint="eastAsia" w:ascii="宋体" w:hAnsi="宋体" w:cs="宋体"/>
                <w:kern w:val="0"/>
                <w:sz w:val="18"/>
                <w:szCs w:val="18"/>
              </w:rPr>
              <w:t>输出电平：1.5Vpp</w:t>
            </w:r>
            <w:r>
              <w:rPr>
                <w:rFonts w:hint="eastAsia" w:ascii="宋体" w:hAnsi="宋体" w:cs="宋体"/>
                <w:kern w:val="0"/>
                <w:sz w:val="18"/>
                <w:szCs w:val="18"/>
              </w:rPr>
              <w:br w:type="textWrapping"/>
            </w:r>
            <w:r>
              <w:rPr>
                <w:rFonts w:hint="eastAsia" w:ascii="宋体" w:hAnsi="宋体" w:cs="宋体"/>
                <w:kern w:val="0"/>
                <w:sz w:val="18"/>
                <w:szCs w:val="18"/>
              </w:rPr>
              <w:t>负载：30 欧</w:t>
            </w:r>
            <w:r>
              <w:rPr>
                <w:rFonts w:hint="eastAsia" w:ascii="宋体" w:hAnsi="宋体" w:cs="宋体"/>
                <w:kern w:val="0"/>
                <w:sz w:val="18"/>
                <w:szCs w:val="18"/>
              </w:rPr>
              <w:br w:type="textWrapping"/>
            </w:r>
            <w:r>
              <w:rPr>
                <w:rFonts w:hint="eastAsia" w:ascii="宋体" w:hAnsi="宋体" w:cs="宋体"/>
                <w:kern w:val="0"/>
                <w:sz w:val="18"/>
                <w:szCs w:val="18"/>
              </w:rPr>
              <w:t>输入电源：AC 220—240V 50/60Hz</w:t>
            </w:r>
            <w:r>
              <w:rPr>
                <w:rFonts w:hint="eastAsia" w:ascii="宋体" w:hAnsi="宋体" w:cs="宋体"/>
                <w:kern w:val="0"/>
                <w:sz w:val="18"/>
                <w:szCs w:val="18"/>
              </w:rPr>
              <w:br w:type="textWrapping"/>
            </w:r>
            <w:r>
              <w:rPr>
                <w:rFonts w:hint="eastAsia" w:ascii="宋体" w:hAnsi="宋体" w:cs="宋体"/>
                <w:kern w:val="0"/>
                <w:sz w:val="18"/>
                <w:szCs w:val="18"/>
              </w:rPr>
              <w:t xml:space="preserve">外形尺寸（长*宽*高）：437mm*194mm*44mm </w:t>
            </w:r>
          </w:p>
        </w:tc>
        <w:tc>
          <w:tcPr>
            <w:tcW w:w="6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0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r>
      <w:tr>
        <w:tblPrEx>
          <w:tblCellMar>
            <w:top w:w="0" w:type="dxa"/>
            <w:left w:w="108" w:type="dxa"/>
            <w:bottom w:w="0" w:type="dxa"/>
            <w:right w:w="108" w:type="dxa"/>
          </w:tblCellMar>
        </w:tblPrEx>
        <w:trPr>
          <w:trHeight w:val="240" w:hRule="atLeast"/>
        </w:trPr>
        <w:tc>
          <w:tcPr>
            <w:tcW w:w="2549" w:type="dxa"/>
            <w:gridSpan w:val="2"/>
            <w:tcBorders>
              <w:top w:val="single" w:color="auto" w:sz="4" w:space="0"/>
              <w:left w:val="single" w:color="auto" w:sz="8" w:space="0"/>
              <w:bottom w:val="single" w:color="auto" w:sz="4" w:space="0"/>
              <w:right w:val="nil"/>
            </w:tcBorders>
            <w:shd w:val="clear" w:color="auto" w:fill="auto"/>
            <w:noWrap/>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二、广播机房主控设备：</w:t>
            </w:r>
          </w:p>
        </w:tc>
        <w:tc>
          <w:tcPr>
            <w:tcW w:w="5122" w:type="dxa"/>
            <w:tcBorders>
              <w:top w:val="nil"/>
              <w:left w:val="nil"/>
              <w:bottom w:val="nil"/>
              <w:right w:val="nil"/>
            </w:tcBorders>
            <w:shd w:val="clear" w:color="auto" w:fill="auto"/>
            <w:noWrap/>
            <w:vAlign w:val="center"/>
          </w:tcPr>
          <w:p>
            <w:pPr>
              <w:widowControl/>
              <w:jc w:val="left"/>
              <w:rPr>
                <w:rFonts w:ascii="宋体" w:hAnsi="宋体" w:cs="宋体"/>
                <w:b/>
                <w:bCs/>
                <w:kern w:val="0"/>
                <w:sz w:val="20"/>
                <w:szCs w:val="20"/>
              </w:rPr>
            </w:pPr>
          </w:p>
        </w:tc>
        <w:tc>
          <w:tcPr>
            <w:tcW w:w="678" w:type="dxa"/>
            <w:tcBorders>
              <w:top w:val="single" w:color="auto" w:sz="4" w:space="0"/>
              <w:left w:val="nil"/>
              <w:bottom w:val="single" w:color="auto" w:sz="4" w:space="0"/>
              <w:right w:val="nil"/>
            </w:tcBorders>
            <w:shd w:val="clear" w:color="auto" w:fill="auto"/>
            <w:noWrap/>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1071" w:type="dxa"/>
            <w:tcBorders>
              <w:top w:val="single" w:color="auto" w:sz="4" w:space="0"/>
              <w:left w:val="nil"/>
              <w:bottom w:val="single" w:color="auto" w:sz="4" w:space="0"/>
              <w:right w:val="nil"/>
            </w:tcBorders>
            <w:shd w:val="clear" w:color="auto" w:fill="auto"/>
            <w:noWrap/>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983" w:hRule="atLeast"/>
        </w:trPr>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51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鹅颈话筒</w:t>
            </w:r>
          </w:p>
        </w:tc>
        <w:tc>
          <w:tcPr>
            <w:tcW w:w="512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膜片类型：电容式 </w:t>
            </w:r>
            <w:r>
              <w:rPr>
                <w:rFonts w:hint="eastAsia" w:ascii="宋体" w:hAnsi="宋体" w:cs="宋体"/>
                <w:kern w:val="0"/>
                <w:sz w:val="18"/>
                <w:szCs w:val="18"/>
              </w:rPr>
              <w:br w:type="textWrapping"/>
            </w:r>
            <w:r>
              <w:rPr>
                <w:rFonts w:hint="eastAsia" w:ascii="宋体" w:hAnsi="宋体" w:cs="宋体"/>
                <w:kern w:val="0"/>
                <w:sz w:val="18"/>
                <w:szCs w:val="18"/>
              </w:rPr>
              <w:t>精工配对背极音头，阵列话筒技术；</w:t>
            </w:r>
            <w:r>
              <w:rPr>
                <w:rFonts w:hint="eastAsia" w:ascii="宋体" w:hAnsi="宋体" w:cs="宋体"/>
                <w:kern w:val="0"/>
                <w:sz w:val="18"/>
                <w:szCs w:val="18"/>
              </w:rPr>
              <w:br w:type="textWrapping"/>
            </w:r>
            <w:r>
              <w:rPr>
                <w:rFonts w:hint="eastAsia" w:ascii="宋体" w:hAnsi="宋体" w:cs="宋体"/>
                <w:kern w:val="0"/>
                <w:sz w:val="18"/>
                <w:szCs w:val="18"/>
              </w:rPr>
              <w:t>★两节五号电池或48v幻象供电，开关切换；</w:t>
            </w:r>
            <w:r>
              <w:rPr>
                <w:rFonts w:hint="eastAsia" w:ascii="宋体" w:hAnsi="宋体" w:cs="宋体"/>
                <w:kern w:val="0"/>
                <w:sz w:val="18"/>
                <w:szCs w:val="18"/>
              </w:rPr>
              <w:br w:type="textWrapping"/>
            </w:r>
            <w:r>
              <w:rPr>
                <w:rFonts w:hint="eastAsia" w:ascii="宋体" w:hAnsi="宋体" w:cs="宋体"/>
                <w:kern w:val="0"/>
                <w:sz w:val="18"/>
                <w:szCs w:val="18"/>
              </w:rPr>
              <w:t>话筒与台式座可分离，方便安装拆卸。</w:t>
            </w:r>
            <w:r>
              <w:rPr>
                <w:rFonts w:hint="eastAsia" w:ascii="宋体" w:hAnsi="宋体" w:cs="宋体"/>
                <w:kern w:val="0"/>
                <w:sz w:val="18"/>
                <w:szCs w:val="18"/>
              </w:rPr>
              <w:br w:type="textWrapping"/>
            </w:r>
            <w:r>
              <w:rPr>
                <w:rFonts w:hint="eastAsia" w:ascii="宋体" w:hAnsi="宋体" w:cs="宋体"/>
                <w:kern w:val="0"/>
                <w:sz w:val="18"/>
                <w:szCs w:val="18"/>
              </w:rPr>
              <w:t>可用于平衡或不平衡输入系统</w:t>
            </w:r>
            <w:r>
              <w:rPr>
                <w:rFonts w:hint="eastAsia" w:ascii="宋体" w:hAnsi="宋体" w:cs="宋体"/>
                <w:kern w:val="0"/>
                <w:sz w:val="18"/>
                <w:szCs w:val="18"/>
              </w:rPr>
              <w:br w:type="textWrapping"/>
            </w:r>
            <w:r>
              <w:rPr>
                <w:rFonts w:hint="eastAsia" w:ascii="宋体" w:hAnsi="宋体" w:cs="宋体"/>
                <w:kern w:val="0"/>
                <w:sz w:val="18"/>
                <w:szCs w:val="18"/>
              </w:rPr>
              <w:t>高灵敏度，频响宽，一致性好，语音清晰</w:t>
            </w:r>
            <w:r>
              <w:rPr>
                <w:rFonts w:hint="eastAsia" w:ascii="宋体" w:hAnsi="宋体" w:cs="宋体"/>
                <w:kern w:val="0"/>
                <w:sz w:val="18"/>
                <w:szCs w:val="18"/>
              </w:rPr>
              <w:br w:type="textWrapping"/>
            </w:r>
            <w:r>
              <w:rPr>
                <w:rFonts w:hint="eastAsia" w:ascii="宋体" w:hAnsi="宋体" w:cs="宋体"/>
                <w:kern w:val="0"/>
                <w:sz w:val="18"/>
                <w:szCs w:val="18"/>
              </w:rPr>
              <w:t xml:space="preserve">专业鹅颈话筒，适用于会议、演讲等各类场合 </w:t>
            </w:r>
            <w:r>
              <w:rPr>
                <w:rFonts w:hint="eastAsia" w:ascii="宋体" w:hAnsi="宋体" w:cs="宋体"/>
                <w:kern w:val="0"/>
                <w:sz w:val="18"/>
                <w:szCs w:val="18"/>
              </w:rPr>
              <w:br w:type="textWrapping"/>
            </w:r>
            <w:r>
              <w:rPr>
                <w:rFonts w:hint="eastAsia" w:ascii="宋体" w:hAnsi="宋体" w:cs="宋体"/>
                <w:kern w:val="0"/>
                <w:sz w:val="18"/>
                <w:szCs w:val="18"/>
              </w:rPr>
              <w:t>指向性：超心型</w:t>
            </w:r>
            <w:r>
              <w:rPr>
                <w:rFonts w:hint="eastAsia" w:ascii="宋体" w:hAnsi="宋体" w:cs="宋体"/>
                <w:kern w:val="0"/>
                <w:sz w:val="18"/>
                <w:szCs w:val="18"/>
              </w:rPr>
              <w:br w:type="textWrapping"/>
            </w:r>
            <w:r>
              <w:rPr>
                <w:rFonts w:hint="eastAsia" w:ascii="宋体" w:hAnsi="宋体" w:cs="宋体"/>
                <w:kern w:val="0"/>
                <w:sz w:val="18"/>
                <w:szCs w:val="18"/>
              </w:rPr>
              <w:t>★频率范围：100-14000Hz</w:t>
            </w:r>
            <w:r>
              <w:rPr>
                <w:rFonts w:hint="eastAsia" w:ascii="宋体" w:hAnsi="宋体" w:cs="宋体"/>
                <w:kern w:val="0"/>
                <w:sz w:val="18"/>
                <w:szCs w:val="18"/>
              </w:rPr>
              <w:br w:type="textWrapping"/>
            </w:r>
            <w:r>
              <w:rPr>
                <w:rFonts w:hint="eastAsia" w:ascii="宋体" w:hAnsi="宋体" w:cs="宋体"/>
                <w:kern w:val="0"/>
                <w:sz w:val="18"/>
                <w:szCs w:val="18"/>
              </w:rPr>
              <w:t>★灵敏度：-34dB</w:t>
            </w:r>
            <w:r>
              <w:rPr>
                <w:rFonts w:hint="eastAsia" w:ascii="宋体" w:hAnsi="宋体" w:cs="宋体"/>
                <w:kern w:val="0"/>
                <w:sz w:val="18"/>
                <w:szCs w:val="18"/>
              </w:rPr>
              <w:br w:type="textWrapping"/>
            </w:r>
            <w:r>
              <w:rPr>
                <w:rFonts w:hint="eastAsia" w:ascii="宋体" w:hAnsi="宋体" w:cs="宋体"/>
                <w:kern w:val="0"/>
                <w:sz w:val="18"/>
                <w:szCs w:val="18"/>
              </w:rPr>
              <w:t>输出阻抗：≤200Ω</w:t>
            </w:r>
            <w:r>
              <w:rPr>
                <w:rFonts w:hint="eastAsia" w:ascii="宋体" w:hAnsi="宋体" w:cs="宋体"/>
                <w:kern w:val="0"/>
                <w:sz w:val="18"/>
                <w:szCs w:val="18"/>
              </w:rPr>
              <w:br w:type="textWrapping"/>
            </w:r>
            <w:r>
              <w:rPr>
                <w:rFonts w:hint="eastAsia" w:ascii="宋体" w:hAnsi="宋体" w:cs="宋体"/>
                <w:kern w:val="0"/>
                <w:sz w:val="18"/>
                <w:szCs w:val="18"/>
              </w:rPr>
              <w:t>★最大声压级：114dB</w:t>
            </w:r>
            <w:r>
              <w:rPr>
                <w:rFonts w:hint="eastAsia" w:ascii="宋体" w:hAnsi="宋体" w:cs="宋体"/>
                <w:kern w:val="0"/>
                <w:sz w:val="18"/>
                <w:szCs w:val="18"/>
              </w:rPr>
              <w:br w:type="textWrapping"/>
            </w:r>
            <w:r>
              <w:rPr>
                <w:rFonts w:hint="eastAsia" w:ascii="宋体" w:hAnsi="宋体" w:cs="宋体"/>
                <w:kern w:val="0"/>
                <w:sz w:val="18"/>
                <w:szCs w:val="18"/>
              </w:rPr>
              <w:t>★等效噪声级：30dB</w:t>
            </w:r>
            <w:r>
              <w:rPr>
                <w:rFonts w:hint="eastAsia" w:ascii="宋体" w:hAnsi="宋体" w:cs="宋体"/>
                <w:kern w:val="0"/>
                <w:sz w:val="18"/>
                <w:szCs w:val="18"/>
              </w:rPr>
              <w:br w:type="textWrapping"/>
            </w:r>
            <w:r>
              <w:rPr>
                <w:rFonts w:hint="eastAsia" w:ascii="宋体" w:hAnsi="宋体" w:cs="宋体"/>
                <w:kern w:val="0"/>
                <w:sz w:val="18"/>
                <w:szCs w:val="18"/>
              </w:rPr>
              <w:t>参考拾音距离：20-80CM</w:t>
            </w:r>
            <w:r>
              <w:rPr>
                <w:rFonts w:hint="eastAsia" w:ascii="宋体" w:hAnsi="宋体" w:cs="宋体"/>
                <w:kern w:val="0"/>
                <w:sz w:val="18"/>
                <w:szCs w:val="18"/>
              </w:rPr>
              <w:br w:type="textWrapping"/>
            </w:r>
            <w:r>
              <w:rPr>
                <w:rFonts w:hint="eastAsia" w:ascii="宋体" w:hAnsi="宋体" w:cs="宋体"/>
                <w:kern w:val="0"/>
                <w:sz w:val="18"/>
                <w:szCs w:val="18"/>
              </w:rPr>
              <w:t>供电：48V幻象电源/DC1.5V×2</w:t>
            </w:r>
            <w:r>
              <w:rPr>
                <w:rFonts w:hint="eastAsia" w:ascii="宋体" w:hAnsi="宋体" w:cs="宋体"/>
                <w:kern w:val="0"/>
                <w:sz w:val="18"/>
                <w:szCs w:val="18"/>
              </w:rPr>
              <w:br w:type="textWrapping"/>
            </w:r>
            <w:r>
              <w:rPr>
                <w:rFonts w:hint="eastAsia" w:ascii="宋体" w:hAnsi="宋体" w:cs="宋体"/>
                <w:kern w:val="0"/>
                <w:sz w:val="18"/>
                <w:szCs w:val="18"/>
              </w:rPr>
              <w:t xml:space="preserve">传声器尺寸：Φ13×485 mm </w:t>
            </w:r>
            <w:r>
              <w:rPr>
                <w:rFonts w:hint="eastAsia" w:ascii="宋体" w:hAnsi="宋体" w:cs="宋体"/>
                <w:kern w:val="0"/>
                <w:sz w:val="18"/>
                <w:szCs w:val="18"/>
              </w:rPr>
              <w:br w:type="textWrapping"/>
            </w:r>
            <w:r>
              <w:rPr>
                <w:rFonts w:hint="eastAsia" w:ascii="宋体" w:hAnsi="宋体" w:cs="宋体"/>
                <w:kern w:val="0"/>
                <w:sz w:val="18"/>
                <w:szCs w:val="18"/>
              </w:rPr>
              <w:t>话筒杆长度：410mm</w:t>
            </w:r>
            <w:r>
              <w:rPr>
                <w:rFonts w:hint="eastAsia" w:ascii="宋体" w:hAnsi="宋体" w:cs="宋体"/>
                <w:kern w:val="0"/>
                <w:sz w:val="18"/>
                <w:szCs w:val="18"/>
              </w:rPr>
              <w:br w:type="textWrapping"/>
            </w:r>
            <w:r>
              <w:rPr>
                <w:rFonts w:hint="eastAsia" w:ascii="宋体" w:hAnsi="宋体" w:cs="宋体"/>
                <w:kern w:val="0"/>
                <w:sz w:val="18"/>
                <w:szCs w:val="18"/>
              </w:rPr>
              <w:t>可定制嵌入式</w:t>
            </w:r>
          </w:p>
        </w:tc>
        <w:tc>
          <w:tcPr>
            <w:tcW w:w="6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10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r>
      <w:tr>
        <w:tblPrEx>
          <w:tblCellMar>
            <w:top w:w="0" w:type="dxa"/>
            <w:left w:w="108" w:type="dxa"/>
            <w:bottom w:w="0" w:type="dxa"/>
            <w:right w:w="108" w:type="dxa"/>
          </w:tblCellMar>
        </w:tblPrEx>
        <w:trPr>
          <w:trHeight w:val="2475" w:hRule="atLeast"/>
        </w:trPr>
        <w:tc>
          <w:tcPr>
            <w:tcW w:w="10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节目定时器</w:t>
            </w:r>
          </w:p>
        </w:tc>
        <w:tc>
          <w:tcPr>
            <w:tcW w:w="51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本设备为公共广播系统中的定时设备提供驱动信号，当时间到指定点时，将会在相应输出口提供一个24V脉冲输出。</w:t>
            </w:r>
            <w:r>
              <w:rPr>
                <w:rFonts w:hint="eastAsia" w:ascii="宋体" w:hAnsi="宋体" w:cs="宋体"/>
                <w:kern w:val="0"/>
                <w:sz w:val="18"/>
                <w:szCs w:val="18"/>
              </w:rPr>
              <w:br w:type="textWrapping"/>
            </w:r>
            <w:r>
              <w:rPr>
                <w:rFonts w:hint="eastAsia" w:ascii="宋体" w:hAnsi="宋体" w:cs="宋体"/>
                <w:kern w:val="0"/>
                <w:sz w:val="18"/>
                <w:szCs w:val="18"/>
              </w:rPr>
              <w:t>★本设备提供4路输出控制接口，每路输出提供两个相同的输出端口。</w:t>
            </w:r>
            <w:r>
              <w:rPr>
                <w:rFonts w:hint="eastAsia" w:ascii="宋体" w:hAnsi="宋体" w:cs="宋体"/>
                <w:kern w:val="0"/>
                <w:sz w:val="18"/>
                <w:szCs w:val="18"/>
              </w:rPr>
              <w:br w:type="textWrapping"/>
            </w:r>
            <w:r>
              <w:rPr>
                <w:rFonts w:hint="eastAsia" w:ascii="宋体" w:hAnsi="宋体" w:cs="宋体"/>
                <w:kern w:val="0"/>
                <w:sz w:val="18"/>
                <w:szCs w:val="18"/>
              </w:rPr>
              <w:t xml:space="preserve">本设备可通过RS232口对PC机进行通讯   </w:t>
            </w:r>
            <w:r>
              <w:rPr>
                <w:rFonts w:hint="eastAsia" w:ascii="宋体" w:hAnsi="宋体" w:cs="宋体"/>
                <w:kern w:val="0"/>
                <w:sz w:val="18"/>
                <w:szCs w:val="18"/>
              </w:rPr>
              <w:br w:type="textWrapping"/>
            </w:r>
            <w:r>
              <w:rPr>
                <w:rFonts w:hint="eastAsia" w:ascii="宋体" w:hAnsi="宋体" w:cs="宋体"/>
                <w:kern w:val="0"/>
                <w:sz w:val="18"/>
                <w:szCs w:val="18"/>
              </w:rPr>
              <w:t xml:space="preserve">本设备可通过RS485接口与其它设备进行通讯（备用）。  </w:t>
            </w:r>
            <w:r>
              <w:rPr>
                <w:rFonts w:hint="eastAsia" w:ascii="宋体" w:hAnsi="宋体" w:cs="宋体"/>
                <w:kern w:val="0"/>
                <w:sz w:val="18"/>
                <w:szCs w:val="18"/>
              </w:rPr>
              <w:br w:type="textWrapping"/>
            </w:r>
            <w:r>
              <w:rPr>
                <w:rFonts w:hint="eastAsia" w:ascii="宋体" w:hAnsi="宋体" w:cs="宋体"/>
                <w:kern w:val="0"/>
                <w:sz w:val="18"/>
                <w:szCs w:val="18"/>
              </w:rPr>
              <w:t>本设备通过LCD与键盘实现多功能操作</w:t>
            </w:r>
            <w:r>
              <w:rPr>
                <w:rFonts w:hint="eastAsia" w:ascii="宋体" w:hAnsi="宋体" w:cs="宋体"/>
                <w:kern w:val="0"/>
                <w:sz w:val="18"/>
                <w:szCs w:val="18"/>
              </w:rPr>
              <w:br w:type="textWrapping"/>
            </w:r>
            <w:r>
              <w:rPr>
                <w:rFonts w:hint="eastAsia" w:ascii="宋体" w:hAnsi="宋体" w:cs="宋体"/>
                <w:kern w:val="0"/>
                <w:sz w:val="18"/>
                <w:szCs w:val="18"/>
              </w:rPr>
              <w:t>输出 DC24V×1A/每通道</w:t>
            </w:r>
            <w:r>
              <w:rPr>
                <w:rFonts w:hint="eastAsia" w:ascii="宋体" w:hAnsi="宋体" w:cs="宋体"/>
                <w:kern w:val="0"/>
                <w:sz w:val="18"/>
                <w:szCs w:val="18"/>
              </w:rPr>
              <w:br w:type="textWrapping"/>
            </w:r>
            <w:r>
              <w:rPr>
                <w:rFonts w:hint="eastAsia" w:ascii="宋体" w:hAnsi="宋体" w:cs="宋体"/>
                <w:kern w:val="0"/>
                <w:sz w:val="18"/>
                <w:szCs w:val="18"/>
              </w:rPr>
              <w:t>保护 AC fuse  250/2A；负载短路保护</w:t>
            </w:r>
            <w:r>
              <w:rPr>
                <w:rFonts w:hint="eastAsia" w:ascii="宋体" w:hAnsi="宋体" w:cs="宋体"/>
                <w:kern w:val="0"/>
                <w:sz w:val="18"/>
                <w:szCs w:val="18"/>
              </w:rPr>
              <w:br w:type="textWrapping"/>
            </w:r>
            <w:r>
              <w:rPr>
                <w:rFonts w:hint="eastAsia" w:ascii="宋体" w:hAnsi="宋体" w:cs="宋体"/>
                <w:kern w:val="0"/>
                <w:sz w:val="18"/>
                <w:szCs w:val="18"/>
              </w:rPr>
              <w:t>电源 AC220-240V/50～60Hz</w:t>
            </w:r>
            <w:r>
              <w:rPr>
                <w:rFonts w:hint="eastAsia" w:ascii="宋体" w:hAnsi="宋体" w:cs="宋体"/>
                <w:kern w:val="0"/>
                <w:sz w:val="18"/>
                <w:szCs w:val="18"/>
              </w:rPr>
              <w:br w:type="textWrapping"/>
            </w:r>
            <w:r>
              <w:rPr>
                <w:rFonts w:hint="eastAsia" w:ascii="宋体" w:hAnsi="宋体" w:cs="宋体"/>
                <w:kern w:val="0"/>
                <w:sz w:val="18"/>
                <w:szCs w:val="18"/>
              </w:rPr>
              <w:t>外形尺寸（mm） 477(W)×300(D)×96(H)</w:t>
            </w:r>
            <w:r>
              <w:rPr>
                <w:rFonts w:hint="eastAsia" w:ascii="宋体" w:hAnsi="宋体" w:cs="宋体"/>
                <w:kern w:val="0"/>
                <w:sz w:val="18"/>
                <w:szCs w:val="18"/>
              </w:rPr>
              <w:br w:type="textWrapping"/>
            </w:r>
            <w:r>
              <w:rPr>
                <w:rFonts w:hint="eastAsia" w:ascii="宋体" w:hAnsi="宋体" w:cs="宋体"/>
                <w:kern w:val="0"/>
                <w:sz w:val="18"/>
                <w:szCs w:val="18"/>
              </w:rPr>
              <w:t>净重（Kg） 5.0</w:t>
            </w:r>
          </w:p>
        </w:tc>
        <w:tc>
          <w:tcPr>
            <w:tcW w:w="6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r>
      <w:tr>
        <w:tblPrEx>
          <w:tblCellMar>
            <w:top w:w="0" w:type="dxa"/>
            <w:left w:w="108" w:type="dxa"/>
            <w:bottom w:w="0" w:type="dxa"/>
            <w:right w:w="108" w:type="dxa"/>
          </w:tblCellMar>
        </w:tblPrEx>
        <w:trPr>
          <w:trHeight w:val="1266" w:hRule="atLeast"/>
        </w:trPr>
        <w:tc>
          <w:tcPr>
            <w:tcW w:w="10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前置放大器</w:t>
            </w:r>
          </w:p>
        </w:tc>
        <w:tc>
          <w:tcPr>
            <w:tcW w:w="51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★三路信号源（音源）的输入、切换选择</w:t>
            </w:r>
            <w:r>
              <w:rPr>
                <w:rFonts w:hint="eastAsia" w:ascii="宋体" w:hAnsi="宋体" w:cs="宋体"/>
                <w:kern w:val="0"/>
                <w:sz w:val="18"/>
                <w:szCs w:val="18"/>
              </w:rPr>
              <w:br w:type="textWrapping"/>
            </w:r>
            <w:r>
              <w:rPr>
                <w:rFonts w:hint="eastAsia" w:ascii="宋体" w:hAnsi="宋体" w:cs="宋体"/>
                <w:kern w:val="0"/>
                <w:sz w:val="18"/>
                <w:szCs w:val="18"/>
              </w:rPr>
              <w:t>★消防报警信号强行切换输入</w:t>
            </w:r>
            <w:r>
              <w:rPr>
                <w:rFonts w:hint="eastAsia" w:ascii="宋体" w:hAnsi="宋体" w:cs="宋体"/>
                <w:kern w:val="0"/>
                <w:sz w:val="18"/>
                <w:szCs w:val="18"/>
              </w:rPr>
              <w:br w:type="textWrapping"/>
            </w:r>
            <w:r>
              <w:rPr>
                <w:rFonts w:hint="eastAsia" w:ascii="宋体" w:hAnsi="宋体" w:cs="宋体"/>
                <w:kern w:val="0"/>
                <w:sz w:val="18"/>
                <w:szCs w:val="18"/>
              </w:rPr>
              <w:t>★电话音频信号输入</w:t>
            </w:r>
            <w:r>
              <w:rPr>
                <w:rFonts w:hint="eastAsia" w:ascii="宋体" w:hAnsi="宋体" w:cs="宋体"/>
                <w:kern w:val="0"/>
                <w:sz w:val="18"/>
                <w:szCs w:val="18"/>
              </w:rPr>
              <w:br w:type="textWrapping"/>
            </w:r>
            <w:r>
              <w:rPr>
                <w:rFonts w:hint="eastAsia" w:ascii="宋体" w:hAnsi="宋体" w:cs="宋体"/>
                <w:kern w:val="0"/>
                <w:sz w:val="18"/>
                <w:szCs w:val="18"/>
              </w:rPr>
              <w:t>★一路话筒优先、三路话筒混音</w:t>
            </w:r>
            <w:r>
              <w:rPr>
                <w:rFonts w:hint="eastAsia" w:ascii="宋体" w:hAnsi="宋体" w:cs="宋体"/>
                <w:kern w:val="0"/>
                <w:sz w:val="18"/>
                <w:szCs w:val="18"/>
              </w:rPr>
              <w:br w:type="textWrapping"/>
            </w:r>
            <w:r>
              <w:rPr>
                <w:rFonts w:hint="eastAsia" w:ascii="宋体" w:hAnsi="宋体" w:cs="宋体"/>
                <w:kern w:val="0"/>
                <w:sz w:val="18"/>
                <w:szCs w:val="18"/>
              </w:rPr>
              <w:t>具备不同信号均衡放大到额定输出；</w:t>
            </w:r>
            <w:r>
              <w:rPr>
                <w:rFonts w:hint="eastAsia" w:ascii="宋体" w:hAnsi="宋体" w:cs="宋体"/>
                <w:kern w:val="0"/>
                <w:sz w:val="18"/>
                <w:szCs w:val="18"/>
              </w:rPr>
              <w:br w:type="textWrapping"/>
            </w:r>
            <w:r>
              <w:rPr>
                <w:rFonts w:hint="eastAsia" w:ascii="宋体" w:hAnsi="宋体" w:cs="宋体"/>
                <w:kern w:val="0"/>
                <w:sz w:val="18"/>
                <w:szCs w:val="18"/>
              </w:rPr>
              <w:t>线性音源选择、外接电话、消防信号强切；</w:t>
            </w:r>
            <w:r>
              <w:rPr>
                <w:rFonts w:hint="eastAsia" w:ascii="宋体" w:hAnsi="宋体" w:cs="宋体"/>
                <w:kern w:val="0"/>
                <w:sz w:val="18"/>
                <w:szCs w:val="18"/>
              </w:rPr>
              <w:br w:type="textWrapping"/>
            </w:r>
            <w:r>
              <w:rPr>
                <w:rFonts w:hint="eastAsia" w:ascii="宋体" w:hAnsi="宋体" w:cs="宋体"/>
                <w:kern w:val="0"/>
                <w:sz w:val="18"/>
                <w:szCs w:val="18"/>
              </w:rPr>
              <w:t>线性音源信号、话筒信号音量调节，高低音提升衰减功能；</w:t>
            </w:r>
            <w:r>
              <w:rPr>
                <w:rFonts w:hint="eastAsia" w:ascii="宋体" w:hAnsi="宋体" w:cs="宋体"/>
                <w:kern w:val="0"/>
                <w:sz w:val="18"/>
                <w:szCs w:val="18"/>
              </w:rPr>
              <w:br w:type="textWrapping"/>
            </w:r>
            <w:r>
              <w:rPr>
                <w:rFonts w:hint="eastAsia" w:ascii="宋体" w:hAnsi="宋体" w:cs="宋体"/>
                <w:kern w:val="0"/>
                <w:sz w:val="18"/>
                <w:szCs w:val="18"/>
              </w:rPr>
              <w:t>具备一路旁路（BYPASS）输入插口，可接入备用功放切换器20Khz导频信号；</w:t>
            </w:r>
            <w:r>
              <w:rPr>
                <w:rFonts w:hint="eastAsia" w:ascii="宋体" w:hAnsi="宋体" w:cs="宋体"/>
                <w:kern w:val="0"/>
                <w:sz w:val="18"/>
                <w:szCs w:val="18"/>
              </w:rPr>
              <w:br w:type="textWrapping"/>
            </w:r>
            <w:r>
              <w:rPr>
                <w:rFonts w:hint="eastAsia" w:ascii="宋体" w:hAnsi="宋体" w:cs="宋体"/>
                <w:kern w:val="0"/>
                <w:sz w:val="18"/>
                <w:szCs w:val="18"/>
              </w:rPr>
              <w:t>CD输入灵敏度:200 mv   （额定输出电平1v）</w:t>
            </w:r>
            <w:r>
              <w:rPr>
                <w:rFonts w:hint="eastAsia" w:ascii="宋体" w:hAnsi="宋体" w:cs="宋体"/>
                <w:kern w:val="0"/>
                <w:sz w:val="18"/>
                <w:szCs w:val="18"/>
              </w:rPr>
              <w:br w:type="textWrapping"/>
            </w:r>
            <w:r>
              <w:rPr>
                <w:rFonts w:hint="eastAsia" w:ascii="宋体" w:hAnsi="宋体" w:cs="宋体"/>
                <w:kern w:val="0"/>
                <w:sz w:val="18"/>
                <w:szCs w:val="18"/>
              </w:rPr>
              <w:t>TAPE输入灵敏度:100 mv （额定输出电平1v）</w:t>
            </w:r>
            <w:r>
              <w:rPr>
                <w:rFonts w:hint="eastAsia" w:ascii="宋体" w:hAnsi="宋体" w:cs="宋体"/>
                <w:kern w:val="0"/>
                <w:sz w:val="18"/>
                <w:szCs w:val="18"/>
              </w:rPr>
              <w:br w:type="textWrapping"/>
            </w:r>
            <w:r>
              <w:rPr>
                <w:rFonts w:hint="eastAsia" w:ascii="宋体" w:hAnsi="宋体" w:cs="宋体"/>
                <w:kern w:val="0"/>
                <w:sz w:val="18"/>
                <w:szCs w:val="18"/>
              </w:rPr>
              <w:t>AUX输入灵敏度:100 mv  （额定输出电平1v）</w:t>
            </w:r>
            <w:r>
              <w:rPr>
                <w:rFonts w:hint="eastAsia" w:ascii="宋体" w:hAnsi="宋体" w:cs="宋体"/>
                <w:kern w:val="0"/>
                <w:sz w:val="18"/>
                <w:szCs w:val="18"/>
              </w:rPr>
              <w:br w:type="textWrapping"/>
            </w:r>
            <w:r>
              <w:rPr>
                <w:rFonts w:hint="eastAsia" w:ascii="宋体" w:hAnsi="宋体" w:cs="宋体"/>
                <w:kern w:val="0"/>
                <w:sz w:val="18"/>
                <w:szCs w:val="18"/>
              </w:rPr>
              <w:t>话筒输入灵敏度:：MIC1～MIC4  ≤2mv, MIC/LINE(MIC3、MIC4)  ≤200mv</w:t>
            </w:r>
            <w:r>
              <w:rPr>
                <w:rFonts w:hint="eastAsia" w:ascii="宋体" w:hAnsi="宋体" w:cs="宋体"/>
                <w:kern w:val="0"/>
                <w:sz w:val="18"/>
                <w:szCs w:val="18"/>
              </w:rPr>
              <w:br w:type="textWrapping"/>
            </w:r>
            <w:r>
              <w:rPr>
                <w:rFonts w:hint="eastAsia" w:ascii="宋体" w:hAnsi="宋体" w:cs="宋体"/>
                <w:kern w:val="0"/>
                <w:sz w:val="18"/>
                <w:szCs w:val="18"/>
              </w:rPr>
              <w:t>线路电平：≥3v</w:t>
            </w:r>
            <w:r>
              <w:rPr>
                <w:rFonts w:hint="eastAsia" w:ascii="宋体" w:hAnsi="宋体" w:cs="宋体"/>
                <w:kern w:val="0"/>
                <w:sz w:val="18"/>
                <w:szCs w:val="18"/>
              </w:rPr>
              <w:br w:type="textWrapping"/>
            </w:r>
            <w:r>
              <w:rPr>
                <w:rFonts w:hint="eastAsia" w:ascii="宋体" w:hAnsi="宋体" w:cs="宋体"/>
                <w:kern w:val="0"/>
                <w:sz w:val="18"/>
                <w:szCs w:val="18"/>
              </w:rPr>
              <w:t>话筒电平：≥30mv</w:t>
            </w:r>
            <w:r>
              <w:rPr>
                <w:rFonts w:hint="eastAsia" w:ascii="宋体" w:hAnsi="宋体" w:cs="宋体"/>
                <w:kern w:val="0"/>
                <w:sz w:val="18"/>
                <w:szCs w:val="18"/>
              </w:rPr>
              <w:br w:type="textWrapping"/>
            </w:r>
            <w:r>
              <w:rPr>
                <w:rFonts w:hint="eastAsia" w:ascii="宋体" w:hAnsi="宋体" w:cs="宋体"/>
                <w:kern w:val="0"/>
                <w:sz w:val="18"/>
                <w:szCs w:val="18"/>
              </w:rPr>
              <w:t>最大不失真输出电平:≥5v</w:t>
            </w:r>
            <w:r>
              <w:rPr>
                <w:rFonts w:hint="eastAsia" w:ascii="宋体" w:hAnsi="宋体" w:cs="宋体"/>
                <w:kern w:val="0"/>
                <w:sz w:val="18"/>
                <w:szCs w:val="18"/>
              </w:rPr>
              <w:br w:type="textWrapping"/>
            </w:r>
            <w:r>
              <w:rPr>
                <w:rFonts w:hint="eastAsia" w:ascii="宋体" w:hAnsi="宋体" w:cs="宋体"/>
                <w:kern w:val="0"/>
                <w:sz w:val="18"/>
                <w:szCs w:val="18"/>
              </w:rPr>
              <w:t>★线路性噪比：:60dB  （或剩余噪声-70 dB）</w:t>
            </w:r>
            <w:r>
              <w:rPr>
                <w:rFonts w:hint="eastAsia" w:ascii="宋体" w:hAnsi="宋体" w:cs="宋体"/>
                <w:kern w:val="0"/>
                <w:sz w:val="18"/>
                <w:szCs w:val="18"/>
              </w:rPr>
              <w:br w:type="textWrapping"/>
            </w:r>
            <w:r>
              <w:rPr>
                <w:rFonts w:hint="eastAsia" w:ascii="宋体" w:hAnsi="宋体" w:cs="宋体"/>
                <w:kern w:val="0"/>
                <w:sz w:val="18"/>
                <w:szCs w:val="18"/>
              </w:rPr>
              <w:t>话筒等效输入噪声: -120 dB</w:t>
            </w:r>
            <w:r>
              <w:rPr>
                <w:rFonts w:hint="eastAsia" w:ascii="宋体" w:hAnsi="宋体" w:cs="宋体"/>
                <w:kern w:val="0"/>
                <w:sz w:val="18"/>
                <w:szCs w:val="18"/>
              </w:rPr>
              <w:br w:type="textWrapping"/>
            </w:r>
            <w:r>
              <w:rPr>
                <w:rFonts w:hint="eastAsia" w:ascii="宋体" w:hAnsi="宋体" w:cs="宋体"/>
                <w:kern w:val="0"/>
                <w:sz w:val="18"/>
                <w:szCs w:val="18"/>
              </w:rPr>
              <w:t>★频率响应：50Hz～18kHz (±3dB)</w:t>
            </w:r>
            <w:r>
              <w:rPr>
                <w:rFonts w:hint="eastAsia" w:ascii="宋体" w:hAnsi="宋体" w:cs="宋体"/>
                <w:kern w:val="0"/>
                <w:sz w:val="18"/>
                <w:szCs w:val="18"/>
              </w:rPr>
              <w:br w:type="textWrapping"/>
            </w:r>
            <w:r>
              <w:rPr>
                <w:rFonts w:hint="eastAsia" w:ascii="宋体" w:hAnsi="宋体" w:cs="宋体"/>
                <w:kern w:val="0"/>
                <w:sz w:val="18"/>
                <w:szCs w:val="18"/>
              </w:rPr>
              <w:t>报警和电话输入灵敏度： 报警：100mv——1v，电话：200mv——1v</w:t>
            </w:r>
            <w:r>
              <w:rPr>
                <w:rFonts w:hint="eastAsia" w:ascii="宋体" w:hAnsi="宋体" w:cs="宋体"/>
                <w:kern w:val="0"/>
                <w:sz w:val="18"/>
                <w:szCs w:val="18"/>
              </w:rPr>
              <w:br w:type="textWrapping"/>
            </w:r>
            <w:r>
              <w:rPr>
                <w:rFonts w:hint="eastAsia" w:ascii="宋体" w:hAnsi="宋体" w:cs="宋体"/>
                <w:kern w:val="0"/>
                <w:sz w:val="18"/>
                <w:szCs w:val="18"/>
              </w:rPr>
              <w:t>钟声提示音灵敏度：最大 ≥2v(出厂时调在0.775v即0 dB位置)</w:t>
            </w:r>
            <w:r>
              <w:rPr>
                <w:rFonts w:hint="eastAsia" w:ascii="宋体" w:hAnsi="宋体" w:cs="宋体"/>
                <w:kern w:val="0"/>
                <w:sz w:val="18"/>
                <w:szCs w:val="18"/>
              </w:rPr>
              <w:br w:type="textWrapping"/>
            </w:r>
            <w:r>
              <w:rPr>
                <w:rFonts w:hint="eastAsia" w:ascii="宋体" w:hAnsi="宋体" w:cs="宋体"/>
                <w:kern w:val="0"/>
                <w:sz w:val="18"/>
                <w:szCs w:val="18"/>
              </w:rPr>
              <w:t>★一级优选控制释放时间（主话筒）：≤2秒</w:t>
            </w:r>
            <w:r>
              <w:rPr>
                <w:rFonts w:hint="eastAsia" w:ascii="宋体" w:hAnsi="宋体" w:cs="宋体"/>
                <w:kern w:val="0"/>
                <w:sz w:val="18"/>
                <w:szCs w:val="18"/>
              </w:rPr>
              <w:br w:type="textWrapping"/>
            </w:r>
            <w:r>
              <w:rPr>
                <w:rFonts w:hint="eastAsia" w:ascii="宋体" w:hAnsi="宋体" w:cs="宋体"/>
                <w:kern w:val="0"/>
                <w:sz w:val="18"/>
                <w:szCs w:val="18"/>
              </w:rPr>
              <w:t>★二级优选控制释放时间（报警及电话录音）：≤5秒</w:t>
            </w:r>
            <w:r>
              <w:rPr>
                <w:rFonts w:hint="eastAsia" w:ascii="宋体" w:hAnsi="宋体" w:cs="宋体"/>
                <w:kern w:val="0"/>
                <w:sz w:val="18"/>
                <w:szCs w:val="18"/>
              </w:rPr>
              <w:br w:type="textWrapping"/>
            </w:r>
            <w:r>
              <w:rPr>
                <w:rFonts w:hint="eastAsia" w:ascii="宋体" w:hAnsi="宋体" w:cs="宋体"/>
                <w:kern w:val="0"/>
                <w:sz w:val="18"/>
                <w:szCs w:val="18"/>
              </w:rPr>
              <w:t>★线路旁路（BY PASS）输入灵敏度:≤1.5v</w:t>
            </w:r>
            <w:r>
              <w:rPr>
                <w:rFonts w:hint="eastAsia" w:ascii="宋体" w:hAnsi="宋体" w:cs="宋体"/>
                <w:kern w:val="0"/>
                <w:sz w:val="18"/>
                <w:szCs w:val="18"/>
              </w:rPr>
              <w:br w:type="textWrapping"/>
            </w:r>
            <w:r>
              <w:rPr>
                <w:rFonts w:hint="eastAsia" w:ascii="宋体" w:hAnsi="宋体" w:cs="宋体"/>
                <w:kern w:val="0"/>
                <w:sz w:val="18"/>
                <w:szCs w:val="18"/>
              </w:rPr>
              <w:t>电源险丝：AC  220V/1A×1</w:t>
            </w:r>
            <w:r>
              <w:rPr>
                <w:rFonts w:hint="eastAsia" w:ascii="宋体" w:hAnsi="宋体" w:cs="宋体"/>
                <w:kern w:val="0"/>
                <w:sz w:val="18"/>
                <w:szCs w:val="18"/>
              </w:rPr>
              <w:br w:type="textWrapping"/>
            </w:r>
            <w:r>
              <w:rPr>
                <w:rFonts w:hint="eastAsia" w:ascii="宋体" w:hAnsi="宋体" w:cs="宋体"/>
                <w:kern w:val="0"/>
                <w:sz w:val="18"/>
                <w:szCs w:val="18"/>
              </w:rPr>
              <w:t>电源功耗：15W</w:t>
            </w:r>
            <w:r>
              <w:rPr>
                <w:rFonts w:hint="eastAsia" w:ascii="宋体" w:hAnsi="宋体" w:cs="宋体"/>
                <w:kern w:val="0"/>
                <w:sz w:val="18"/>
                <w:szCs w:val="18"/>
              </w:rPr>
              <w:br w:type="textWrapping"/>
            </w:r>
            <w:r>
              <w:rPr>
                <w:rFonts w:hint="eastAsia" w:ascii="宋体" w:hAnsi="宋体" w:cs="宋体"/>
                <w:kern w:val="0"/>
                <w:sz w:val="18"/>
                <w:szCs w:val="18"/>
              </w:rPr>
              <w:t>外形尺寸（mm）：477(W)×272(D)×96(H)</w:t>
            </w:r>
            <w:r>
              <w:rPr>
                <w:rFonts w:hint="eastAsia" w:ascii="宋体" w:hAnsi="宋体" w:cs="宋体"/>
                <w:kern w:val="0"/>
                <w:sz w:val="18"/>
                <w:szCs w:val="18"/>
              </w:rPr>
              <w:br w:type="textWrapping"/>
            </w:r>
            <w:r>
              <w:rPr>
                <w:rFonts w:hint="eastAsia" w:ascii="宋体" w:hAnsi="宋体" w:cs="宋体"/>
                <w:kern w:val="0"/>
                <w:sz w:val="18"/>
                <w:szCs w:val="18"/>
              </w:rPr>
              <w:t>重量（Kg）：7.5</w:t>
            </w:r>
            <w:r>
              <w:rPr>
                <w:rFonts w:hint="eastAsia" w:ascii="宋体" w:hAnsi="宋体" w:cs="宋体"/>
                <w:kern w:val="0"/>
                <w:sz w:val="18"/>
                <w:szCs w:val="18"/>
              </w:rPr>
              <w:br w:type="textWrapping"/>
            </w:r>
            <w:r>
              <w:rPr>
                <w:rFonts w:hint="eastAsia" w:ascii="宋体" w:hAnsi="宋体" w:cs="宋体"/>
                <w:kern w:val="0"/>
                <w:sz w:val="18"/>
                <w:szCs w:val="18"/>
              </w:rPr>
              <w:t>颜色：面板银色 机体黑色</w:t>
            </w:r>
          </w:p>
        </w:tc>
        <w:tc>
          <w:tcPr>
            <w:tcW w:w="6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r>
      <w:tr>
        <w:tblPrEx>
          <w:tblCellMar>
            <w:top w:w="0" w:type="dxa"/>
            <w:left w:w="108" w:type="dxa"/>
            <w:bottom w:w="0" w:type="dxa"/>
            <w:right w:w="108" w:type="dxa"/>
          </w:tblCellMar>
        </w:tblPrEx>
        <w:trPr>
          <w:trHeight w:val="927" w:hRule="atLeast"/>
        </w:trPr>
        <w:tc>
          <w:tcPr>
            <w:tcW w:w="10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分区矩阵器</w:t>
            </w:r>
          </w:p>
        </w:tc>
        <w:tc>
          <w:tcPr>
            <w:tcW w:w="51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具备把音频信号根据不同需求合理分区，按钮控制选区；</w:t>
            </w:r>
            <w:r>
              <w:rPr>
                <w:rFonts w:hint="eastAsia" w:ascii="宋体" w:hAnsi="宋体" w:cs="宋体"/>
                <w:kern w:val="0"/>
                <w:sz w:val="18"/>
                <w:szCs w:val="18"/>
              </w:rPr>
              <w:br w:type="textWrapping"/>
            </w:r>
            <w:r>
              <w:rPr>
                <w:rFonts w:hint="eastAsia" w:ascii="宋体" w:hAnsi="宋体" w:cs="宋体"/>
                <w:kern w:val="0"/>
                <w:sz w:val="18"/>
                <w:szCs w:val="18"/>
              </w:rPr>
              <w:t>具备并联兼容多台分区选择器扩展分区；</w:t>
            </w:r>
            <w:r>
              <w:rPr>
                <w:rFonts w:hint="eastAsia" w:ascii="宋体" w:hAnsi="宋体" w:cs="宋体"/>
                <w:kern w:val="0"/>
                <w:sz w:val="18"/>
                <w:szCs w:val="18"/>
              </w:rPr>
              <w:br w:type="textWrapping"/>
            </w:r>
            <w:r>
              <w:rPr>
                <w:rFonts w:hint="eastAsia" w:ascii="宋体" w:hAnsi="宋体" w:cs="宋体"/>
                <w:kern w:val="0"/>
                <w:sz w:val="18"/>
                <w:szCs w:val="18"/>
              </w:rPr>
              <w:t>电路合理、性能可靠；</w:t>
            </w:r>
            <w:r>
              <w:rPr>
                <w:rFonts w:hint="eastAsia" w:ascii="宋体" w:hAnsi="宋体" w:cs="宋体"/>
                <w:kern w:val="0"/>
                <w:sz w:val="18"/>
                <w:szCs w:val="18"/>
              </w:rPr>
              <w:br w:type="textWrapping"/>
            </w:r>
            <w:r>
              <w:rPr>
                <w:rFonts w:hint="eastAsia" w:ascii="宋体" w:hAnsi="宋体" w:cs="宋体"/>
                <w:kern w:val="0"/>
                <w:sz w:val="18"/>
                <w:szCs w:val="18"/>
              </w:rPr>
              <w:t>12路音频信号输入，12路音频信号输出 ；</w:t>
            </w:r>
            <w:r>
              <w:rPr>
                <w:rFonts w:hint="eastAsia" w:ascii="宋体" w:hAnsi="宋体" w:cs="宋体"/>
                <w:kern w:val="0"/>
                <w:sz w:val="18"/>
                <w:szCs w:val="18"/>
              </w:rPr>
              <w:br w:type="textWrapping"/>
            </w:r>
            <w:r>
              <w:rPr>
                <w:rFonts w:hint="eastAsia" w:ascii="宋体" w:hAnsi="宋体" w:cs="宋体"/>
                <w:kern w:val="0"/>
                <w:sz w:val="18"/>
                <w:szCs w:val="18"/>
              </w:rPr>
              <w:t>12路报警信号输入，触发N+1,N-1区域</w:t>
            </w:r>
            <w:r>
              <w:rPr>
                <w:rFonts w:hint="eastAsia" w:ascii="宋体" w:hAnsi="宋体" w:cs="宋体"/>
                <w:kern w:val="0"/>
                <w:sz w:val="18"/>
                <w:szCs w:val="18"/>
              </w:rPr>
              <w:br w:type="textWrapping"/>
            </w:r>
            <w:r>
              <w:rPr>
                <w:rFonts w:hint="eastAsia" w:ascii="宋体" w:hAnsi="宋体" w:cs="宋体"/>
                <w:kern w:val="0"/>
                <w:sz w:val="18"/>
                <w:szCs w:val="18"/>
              </w:rPr>
              <w:t>一路RS-232串口控制输入 ；</w:t>
            </w:r>
            <w:r>
              <w:rPr>
                <w:rFonts w:hint="eastAsia" w:ascii="宋体" w:hAnsi="宋体" w:cs="宋体"/>
                <w:kern w:val="0"/>
                <w:sz w:val="18"/>
                <w:szCs w:val="18"/>
              </w:rPr>
              <w:br w:type="textWrapping"/>
            </w:r>
            <w:r>
              <w:rPr>
                <w:rFonts w:hint="eastAsia" w:ascii="宋体" w:hAnsi="宋体" w:cs="宋体"/>
                <w:kern w:val="0"/>
                <w:sz w:val="18"/>
                <w:szCs w:val="18"/>
              </w:rPr>
              <w:t xml:space="preserve">一路RS-232串口控制输出 ；                                                        </w:t>
            </w:r>
            <w:r>
              <w:rPr>
                <w:rFonts w:hint="eastAsia" w:ascii="宋体" w:hAnsi="宋体" w:cs="宋体"/>
                <w:kern w:val="0"/>
                <w:sz w:val="18"/>
                <w:szCs w:val="18"/>
              </w:rPr>
              <w:br w:type="textWrapping"/>
            </w:r>
            <w:r>
              <w:rPr>
                <w:rFonts w:hint="eastAsia" w:ascii="宋体" w:hAnsi="宋体" w:cs="宋体"/>
                <w:kern w:val="0"/>
                <w:sz w:val="18"/>
                <w:szCs w:val="18"/>
              </w:rPr>
              <w:t>线路输入（最大） 3A/250V(AC)     3A/30V(DC)</w:t>
            </w:r>
            <w:r>
              <w:rPr>
                <w:rFonts w:hint="eastAsia" w:ascii="宋体" w:hAnsi="宋体" w:cs="宋体"/>
                <w:kern w:val="0"/>
                <w:sz w:val="18"/>
                <w:szCs w:val="18"/>
              </w:rPr>
              <w:br w:type="textWrapping"/>
            </w:r>
            <w:r>
              <w:rPr>
                <w:rFonts w:hint="eastAsia" w:ascii="宋体" w:hAnsi="宋体" w:cs="宋体"/>
                <w:kern w:val="0"/>
                <w:sz w:val="18"/>
                <w:szCs w:val="18"/>
              </w:rPr>
              <w:t>线路输入（额定） 2A/220V(AC)     2A/30V(DC)</w:t>
            </w:r>
            <w:r>
              <w:rPr>
                <w:rFonts w:hint="eastAsia" w:ascii="宋体" w:hAnsi="宋体" w:cs="宋体"/>
                <w:kern w:val="0"/>
                <w:sz w:val="18"/>
                <w:szCs w:val="18"/>
              </w:rPr>
              <w:br w:type="textWrapping"/>
            </w:r>
            <w:r>
              <w:rPr>
                <w:rFonts w:hint="eastAsia" w:ascii="宋体" w:hAnsi="宋体" w:cs="宋体"/>
                <w:kern w:val="0"/>
                <w:sz w:val="18"/>
                <w:szCs w:val="18"/>
              </w:rPr>
              <w:t>允许范围 200V～230V</w:t>
            </w:r>
            <w:r>
              <w:rPr>
                <w:rFonts w:hint="eastAsia" w:ascii="宋体" w:hAnsi="宋体" w:cs="宋体"/>
                <w:kern w:val="0"/>
                <w:sz w:val="18"/>
                <w:szCs w:val="18"/>
              </w:rPr>
              <w:br w:type="textWrapping"/>
            </w:r>
            <w:r>
              <w:rPr>
                <w:rFonts w:hint="eastAsia" w:ascii="宋体" w:hAnsi="宋体" w:cs="宋体"/>
                <w:kern w:val="0"/>
                <w:sz w:val="18"/>
                <w:szCs w:val="18"/>
              </w:rPr>
              <w:t>电源保险丝 220V/0.5A*1</w:t>
            </w:r>
            <w:r>
              <w:rPr>
                <w:rFonts w:hint="eastAsia" w:ascii="宋体" w:hAnsi="宋体" w:cs="宋体"/>
                <w:kern w:val="0"/>
                <w:sz w:val="18"/>
                <w:szCs w:val="18"/>
              </w:rPr>
              <w:br w:type="textWrapping"/>
            </w:r>
            <w:r>
              <w:rPr>
                <w:rFonts w:hint="eastAsia" w:ascii="宋体" w:hAnsi="宋体" w:cs="宋体"/>
                <w:kern w:val="0"/>
                <w:sz w:val="18"/>
                <w:szCs w:val="18"/>
              </w:rPr>
              <w:t>电源功耗 15(W)</w:t>
            </w:r>
            <w:r>
              <w:rPr>
                <w:rFonts w:hint="eastAsia" w:ascii="宋体" w:hAnsi="宋体" w:cs="宋体"/>
                <w:kern w:val="0"/>
                <w:sz w:val="18"/>
                <w:szCs w:val="18"/>
              </w:rPr>
              <w:br w:type="textWrapping"/>
            </w:r>
            <w:r>
              <w:rPr>
                <w:rFonts w:hint="eastAsia" w:ascii="宋体" w:hAnsi="宋体" w:cs="宋体"/>
                <w:kern w:val="0"/>
                <w:sz w:val="18"/>
                <w:szCs w:val="18"/>
              </w:rPr>
              <w:t>外形尺寸(mm) 477(W)×272(D)×44(H)</w:t>
            </w:r>
            <w:r>
              <w:rPr>
                <w:rFonts w:hint="eastAsia" w:ascii="宋体" w:hAnsi="宋体" w:cs="宋体"/>
                <w:kern w:val="0"/>
                <w:sz w:val="18"/>
                <w:szCs w:val="18"/>
              </w:rPr>
              <w:br w:type="textWrapping"/>
            </w:r>
            <w:r>
              <w:rPr>
                <w:rFonts w:hint="eastAsia" w:ascii="宋体" w:hAnsi="宋体" w:cs="宋体"/>
                <w:kern w:val="0"/>
                <w:sz w:val="18"/>
                <w:szCs w:val="18"/>
              </w:rPr>
              <w:t>重量（Kg） 7.5</w:t>
            </w:r>
          </w:p>
        </w:tc>
        <w:tc>
          <w:tcPr>
            <w:tcW w:w="6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r>
      <w:tr>
        <w:tblPrEx>
          <w:tblCellMar>
            <w:top w:w="0" w:type="dxa"/>
            <w:left w:w="108" w:type="dxa"/>
            <w:bottom w:w="0" w:type="dxa"/>
            <w:right w:w="108" w:type="dxa"/>
          </w:tblCellMar>
        </w:tblPrEx>
        <w:trPr>
          <w:trHeight w:val="2025" w:hRule="atLeast"/>
        </w:trPr>
        <w:tc>
          <w:tcPr>
            <w:tcW w:w="10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顺序电源启动器</w:t>
            </w:r>
          </w:p>
        </w:tc>
        <w:tc>
          <w:tcPr>
            <w:tcW w:w="51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8路电源输出；</w:t>
            </w:r>
            <w:r>
              <w:rPr>
                <w:rFonts w:hint="eastAsia" w:ascii="宋体" w:hAnsi="宋体" w:cs="宋体"/>
                <w:kern w:val="0"/>
                <w:sz w:val="18"/>
                <w:szCs w:val="18"/>
              </w:rPr>
              <w:br w:type="textWrapping"/>
            </w:r>
            <w:r>
              <w:rPr>
                <w:rFonts w:hint="eastAsia" w:ascii="宋体" w:hAnsi="宋体" w:cs="宋体"/>
                <w:kern w:val="0"/>
                <w:sz w:val="18"/>
                <w:szCs w:val="18"/>
              </w:rPr>
              <w:t>延时打开和延时关闭电源输出；</w:t>
            </w:r>
            <w:r>
              <w:rPr>
                <w:rFonts w:hint="eastAsia" w:ascii="宋体" w:hAnsi="宋体" w:cs="宋体"/>
                <w:kern w:val="0"/>
                <w:sz w:val="18"/>
                <w:szCs w:val="18"/>
              </w:rPr>
              <w:br w:type="textWrapping"/>
            </w:r>
            <w:r>
              <w:rPr>
                <w:rFonts w:hint="eastAsia" w:ascii="宋体" w:hAnsi="宋体" w:cs="宋体"/>
                <w:kern w:val="0"/>
                <w:sz w:val="18"/>
                <w:szCs w:val="18"/>
              </w:rPr>
              <w:t>消防紧急启动；</w:t>
            </w:r>
            <w:r>
              <w:rPr>
                <w:rFonts w:hint="eastAsia" w:ascii="宋体" w:hAnsi="宋体" w:cs="宋体"/>
                <w:kern w:val="0"/>
                <w:sz w:val="18"/>
                <w:szCs w:val="18"/>
              </w:rPr>
              <w:br w:type="textWrapping"/>
            </w:r>
            <w:r>
              <w:rPr>
                <w:rFonts w:hint="eastAsia" w:ascii="宋体" w:hAnsi="宋体" w:cs="宋体"/>
                <w:kern w:val="0"/>
                <w:sz w:val="18"/>
                <w:szCs w:val="18"/>
              </w:rPr>
              <w:t>定时开启和定时关闭电源输出；</w:t>
            </w:r>
            <w:r>
              <w:rPr>
                <w:rFonts w:hint="eastAsia" w:ascii="宋体" w:hAnsi="宋体" w:cs="宋体"/>
                <w:kern w:val="0"/>
                <w:sz w:val="18"/>
                <w:szCs w:val="18"/>
              </w:rPr>
              <w:br w:type="textWrapping"/>
            </w:r>
            <w:r>
              <w:rPr>
                <w:rFonts w:hint="eastAsia" w:ascii="宋体" w:hAnsi="宋体" w:cs="宋体"/>
                <w:kern w:val="0"/>
                <w:sz w:val="18"/>
                <w:szCs w:val="18"/>
              </w:rPr>
              <w:t>RS232串口定时开启定时关闭某些特定设备电源输出；                                                                              电源总输出最大电流 25A</w:t>
            </w:r>
            <w:r>
              <w:rPr>
                <w:rFonts w:hint="eastAsia" w:ascii="宋体" w:hAnsi="宋体" w:cs="宋体"/>
                <w:kern w:val="0"/>
                <w:sz w:val="18"/>
                <w:szCs w:val="18"/>
              </w:rPr>
              <w:br w:type="textWrapping"/>
            </w:r>
            <w:r>
              <w:rPr>
                <w:rFonts w:hint="eastAsia" w:ascii="宋体" w:hAnsi="宋体" w:cs="宋体"/>
                <w:kern w:val="0"/>
                <w:sz w:val="18"/>
                <w:szCs w:val="18"/>
              </w:rPr>
              <w:t>分电源输出最大电流 3A</w:t>
            </w:r>
            <w:r>
              <w:rPr>
                <w:rFonts w:hint="eastAsia" w:ascii="宋体" w:hAnsi="宋体" w:cs="宋体"/>
                <w:kern w:val="0"/>
                <w:sz w:val="18"/>
                <w:szCs w:val="18"/>
              </w:rPr>
              <w:br w:type="textWrapping"/>
            </w:r>
            <w:r>
              <w:rPr>
                <w:rFonts w:hint="eastAsia" w:ascii="宋体" w:hAnsi="宋体" w:cs="宋体"/>
                <w:kern w:val="0"/>
                <w:sz w:val="18"/>
                <w:szCs w:val="18"/>
              </w:rPr>
              <w:t>机器电源功耗 15W</w:t>
            </w:r>
            <w:r>
              <w:rPr>
                <w:rFonts w:hint="eastAsia" w:ascii="宋体" w:hAnsi="宋体" w:cs="宋体"/>
                <w:kern w:val="0"/>
                <w:sz w:val="18"/>
                <w:szCs w:val="18"/>
              </w:rPr>
              <w:br w:type="textWrapping"/>
            </w:r>
            <w:r>
              <w:rPr>
                <w:rFonts w:hint="eastAsia" w:ascii="宋体" w:hAnsi="宋体" w:cs="宋体"/>
                <w:kern w:val="0"/>
                <w:sz w:val="18"/>
                <w:szCs w:val="18"/>
              </w:rPr>
              <w:t>外形尺寸（mm） 477(W)×272(D)×96(H)</w:t>
            </w:r>
          </w:p>
        </w:tc>
        <w:tc>
          <w:tcPr>
            <w:tcW w:w="6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r>
      <w:tr>
        <w:tblPrEx>
          <w:tblCellMar>
            <w:top w:w="0" w:type="dxa"/>
            <w:left w:w="108" w:type="dxa"/>
            <w:bottom w:w="0" w:type="dxa"/>
            <w:right w:w="108" w:type="dxa"/>
          </w:tblCellMar>
        </w:tblPrEx>
        <w:trPr>
          <w:trHeight w:val="558" w:hRule="atLeast"/>
        </w:trPr>
        <w:tc>
          <w:tcPr>
            <w:tcW w:w="10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数码语音录放器</w:t>
            </w:r>
          </w:p>
        </w:tc>
        <w:tc>
          <w:tcPr>
            <w:tcW w:w="51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★内部采用8G SD卡进行音频文件的存储；</w:t>
            </w:r>
            <w:r>
              <w:rPr>
                <w:rFonts w:hint="eastAsia" w:ascii="宋体" w:hAnsi="宋体" w:cs="宋体"/>
                <w:kern w:val="0"/>
                <w:sz w:val="18"/>
                <w:szCs w:val="18"/>
              </w:rPr>
              <w:br w:type="textWrapping"/>
            </w:r>
            <w:r>
              <w:rPr>
                <w:rFonts w:hint="eastAsia" w:ascii="宋体" w:hAnsi="宋体" w:cs="宋体"/>
                <w:kern w:val="0"/>
                <w:sz w:val="18"/>
                <w:szCs w:val="18"/>
              </w:rPr>
              <w:t>总共可以录制4段音频文件；</w:t>
            </w:r>
            <w:r>
              <w:rPr>
                <w:rFonts w:hint="eastAsia" w:ascii="宋体" w:hAnsi="宋体" w:cs="宋体"/>
                <w:kern w:val="0"/>
                <w:sz w:val="18"/>
                <w:szCs w:val="18"/>
              </w:rPr>
              <w:br w:type="textWrapping"/>
            </w:r>
            <w:r>
              <w:rPr>
                <w:rFonts w:hint="eastAsia" w:ascii="宋体" w:hAnsi="宋体" w:cs="宋体"/>
                <w:kern w:val="0"/>
                <w:sz w:val="18"/>
                <w:szCs w:val="18"/>
              </w:rPr>
              <w:t>★既可以通过话筒、线路录音，也可以通过外置U盘进行复制；</w:t>
            </w:r>
            <w:r>
              <w:rPr>
                <w:rFonts w:hint="eastAsia" w:ascii="宋体" w:hAnsi="宋体" w:cs="宋体"/>
                <w:kern w:val="0"/>
                <w:sz w:val="18"/>
                <w:szCs w:val="18"/>
              </w:rPr>
              <w:br w:type="textWrapping"/>
            </w:r>
            <w:r>
              <w:rPr>
                <w:rFonts w:hint="eastAsia" w:ascii="宋体" w:hAnsi="宋体" w:cs="宋体"/>
                <w:kern w:val="0"/>
                <w:sz w:val="18"/>
                <w:szCs w:val="18"/>
              </w:rPr>
              <w:t>★外置4个24V直流控制口，可分别触发4段已录制的音频文件；</w:t>
            </w:r>
            <w:r>
              <w:rPr>
                <w:rFonts w:hint="eastAsia" w:ascii="宋体" w:hAnsi="宋体" w:cs="宋体"/>
                <w:kern w:val="0"/>
                <w:sz w:val="18"/>
                <w:szCs w:val="18"/>
              </w:rPr>
              <w:br w:type="textWrapping"/>
            </w:r>
            <w:r>
              <w:rPr>
                <w:rFonts w:hint="eastAsia" w:ascii="宋体" w:hAnsi="宋体" w:cs="宋体"/>
                <w:kern w:val="0"/>
                <w:sz w:val="18"/>
                <w:szCs w:val="18"/>
              </w:rPr>
              <w:t>通过面板播按钮进行手动选择播放4段音频文件中任意1段。</w:t>
            </w:r>
            <w:r>
              <w:rPr>
                <w:rFonts w:hint="eastAsia" w:ascii="宋体" w:hAnsi="宋体" w:cs="宋体"/>
                <w:kern w:val="0"/>
                <w:sz w:val="18"/>
                <w:szCs w:val="18"/>
              </w:rPr>
              <w:br w:type="textWrapping"/>
            </w:r>
            <w:r>
              <w:rPr>
                <w:rFonts w:hint="eastAsia" w:ascii="宋体" w:hAnsi="宋体" w:cs="宋体"/>
                <w:kern w:val="0"/>
                <w:sz w:val="18"/>
                <w:szCs w:val="18"/>
              </w:rPr>
              <w:t>电源电压：220V/50Hz</w:t>
            </w:r>
            <w:r>
              <w:rPr>
                <w:rFonts w:hint="eastAsia" w:ascii="宋体" w:hAnsi="宋体" w:cs="宋体"/>
                <w:kern w:val="0"/>
                <w:sz w:val="18"/>
                <w:szCs w:val="18"/>
              </w:rPr>
              <w:br w:type="textWrapping"/>
            </w:r>
            <w:r>
              <w:rPr>
                <w:rFonts w:hint="eastAsia" w:ascii="宋体" w:hAnsi="宋体" w:cs="宋体"/>
                <w:kern w:val="0"/>
                <w:sz w:val="18"/>
                <w:szCs w:val="18"/>
              </w:rPr>
              <w:t>电源电压 ：200V-230V</w:t>
            </w:r>
            <w:r>
              <w:rPr>
                <w:rFonts w:hint="eastAsia" w:ascii="宋体" w:hAnsi="宋体" w:cs="宋体"/>
                <w:kern w:val="0"/>
                <w:sz w:val="18"/>
                <w:szCs w:val="18"/>
              </w:rPr>
              <w:br w:type="textWrapping"/>
            </w:r>
            <w:r>
              <w:rPr>
                <w:rFonts w:hint="eastAsia" w:ascii="宋体" w:hAnsi="宋体" w:cs="宋体"/>
                <w:kern w:val="0"/>
                <w:sz w:val="18"/>
                <w:szCs w:val="18"/>
              </w:rPr>
              <w:t>★额定输入话筒：-44DB</w:t>
            </w:r>
            <w:r>
              <w:rPr>
                <w:rFonts w:hint="eastAsia" w:ascii="宋体" w:hAnsi="宋体" w:cs="宋体"/>
                <w:kern w:val="0"/>
                <w:sz w:val="18"/>
                <w:szCs w:val="18"/>
              </w:rPr>
              <w:br w:type="textWrapping"/>
            </w:r>
            <w:r>
              <w:rPr>
                <w:rFonts w:hint="eastAsia" w:ascii="宋体" w:hAnsi="宋体" w:cs="宋体"/>
                <w:kern w:val="0"/>
                <w:sz w:val="18"/>
                <w:szCs w:val="18"/>
              </w:rPr>
              <w:t>★额定线路输入：-20DB</w:t>
            </w:r>
            <w:r>
              <w:rPr>
                <w:rFonts w:hint="eastAsia" w:ascii="宋体" w:hAnsi="宋体" w:cs="宋体"/>
                <w:kern w:val="0"/>
                <w:sz w:val="18"/>
                <w:szCs w:val="18"/>
              </w:rPr>
              <w:br w:type="textWrapping"/>
            </w:r>
            <w:r>
              <w:rPr>
                <w:rFonts w:hint="eastAsia" w:ascii="宋体" w:hAnsi="宋体" w:cs="宋体"/>
                <w:kern w:val="0"/>
                <w:sz w:val="18"/>
                <w:szCs w:val="18"/>
              </w:rPr>
              <w:t>额定输出：0DB</w:t>
            </w:r>
            <w:r>
              <w:rPr>
                <w:rFonts w:hint="eastAsia" w:ascii="宋体" w:hAnsi="宋体" w:cs="宋体"/>
                <w:kern w:val="0"/>
                <w:sz w:val="18"/>
                <w:szCs w:val="18"/>
              </w:rPr>
              <w:br w:type="textWrapping"/>
            </w:r>
            <w:r>
              <w:rPr>
                <w:rFonts w:hint="eastAsia" w:ascii="宋体" w:hAnsi="宋体" w:cs="宋体"/>
                <w:kern w:val="0"/>
                <w:sz w:val="18"/>
                <w:szCs w:val="18"/>
              </w:rPr>
              <w:t>电源险丝：AC  220V/0.5A×1</w:t>
            </w:r>
            <w:r>
              <w:rPr>
                <w:rFonts w:hint="eastAsia" w:ascii="宋体" w:hAnsi="宋体" w:cs="宋体"/>
                <w:kern w:val="0"/>
                <w:sz w:val="18"/>
                <w:szCs w:val="18"/>
              </w:rPr>
              <w:br w:type="textWrapping"/>
            </w:r>
            <w:r>
              <w:rPr>
                <w:rFonts w:hint="eastAsia" w:ascii="宋体" w:hAnsi="宋体" w:cs="宋体"/>
                <w:kern w:val="0"/>
                <w:sz w:val="18"/>
                <w:szCs w:val="18"/>
              </w:rPr>
              <w:t>电源功耗：15W</w:t>
            </w:r>
            <w:r>
              <w:rPr>
                <w:rFonts w:hint="eastAsia" w:ascii="宋体" w:hAnsi="宋体" w:cs="宋体"/>
                <w:kern w:val="0"/>
                <w:sz w:val="18"/>
                <w:szCs w:val="18"/>
              </w:rPr>
              <w:br w:type="textWrapping"/>
            </w:r>
            <w:r>
              <w:rPr>
                <w:rFonts w:hint="eastAsia" w:ascii="宋体" w:hAnsi="宋体" w:cs="宋体"/>
                <w:kern w:val="0"/>
                <w:sz w:val="18"/>
                <w:szCs w:val="18"/>
              </w:rPr>
              <w:t>外形尺寸（mm）：477(W)×272(D)×44(H)</w:t>
            </w:r>
            <w:r>
              <w:rPr>
                <w:rFonts w:hint="eastAsia" w:ascii="宋体" w:hAnsi="宋体" w:cs="宋体"/>
                <w:kern w:val="0"/>
                <w:sz w:val="18"/>
                <w:szCs w:val="18"/>
              </w:rPr>
              <w:br w:type="textWrapping"/>
            </w:r>
            <w:r>
              <w:rPr>
                <w:rFonts w:hint="eastAsia" w:ascii="宋体" w:hAnsi="宋体" w:cs="宋体"/>
                <w:kern w:val="0"/>
                <w:sz w:val="18"/>
                <w:szCs w:val="18"/>
              </w:rPr>
              <w:t>重量（Kg）：7.5</w:t>
            </w:r>
            <w:r>
              <w:rPr>
                <w:rFonts w:hint="eastAsia" w:ascii="宋体" w:hAnsi="宋体" w:cs="宋体"/>
                <w:kern w:val="0"/>
                <w:sz w:val="18"/>
                <w:szCs w:val="18"/>
              </w:rPr>
              <w:br w:type="textWrapping"/>
            </w:r>
            <w:r>
              <w:rPr>
                <w:rFonts w:hint="eastAsia" w:ascii="宋体" w:hAnsi="宋体" w:cs="宋体"/>
                <w:kern w:val="0"/>
                <w:sz w:val="18"/>
                <w:szCs w:val="18"/>
              </w:rPr>
              <w:t>颜色：面板银色 机体黑色</w:t>
            </w:r>
          </w:p>
        </w:tc>
        <w:tc>
          <w:tcPr>
            <w:tcW w:w="6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r>
      <w:tr>
        <w:tblPrEx>
          <w:tblCellMar>
            <w:top w:w="0" w:type="dxa"/>
            <w:left w:w="108" w:type="dxa"/>
            <w:bottom w:w="0" w:type="dxa"/>
            <w:right w:w="108" w:type="dxa"/>
          </w:tblCellMar>
        </w:tblPrEx>
        <w:trPr>
          <w:trHeight w:val="240" w:hRule="atLeast"/>
        </w:trPr>
        <w:tc>
          <w:tcPr>
            <w:tcW w:w="10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机柜</w:t>
            </w:r>
          </w:p>
        </w:tc>
        <w:tc>
          <w:tcPr>
            <w:tcW w:w="51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利旧，含运输、安装</w:t>
            </w:r>
          </w:p>
        </w:tc>
        <w:tc>
          <w:tcPr>
            <w:tcW w:w="6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r>
      <w:tr>
        <w:tblPrEx>
          <w:tblCellMar>
            <w:top w:w="0" w:type="dxa"/>
            <w:left w:w="108" w:type="dxa"/>
            <w:bottom w:w="0" w:type="dxa"/>
            <w:right w:w="108" w:type="dxa"/>
          </w:tblCellMar>
        </w:tblPrEx>
        <w:trPr>
          <w:trHeight w:val="240" w:hRule="atLeast"/>
        </w:trPr>
        <w:tc>
          <w:tcPr>
            <w:tcW w:w="2549" w:type="dxa"/>
            <w:gridSpan w:val="2"/>
            <w:tcBorders>
              <w:top w:val="single" w:color="auto" w:sz="4" w:space="0"/>
              <w:left w:val="single" w:color="auto" w:sz="4" w:space="0"/>
              <w:bottom w:val="single" w:color="auto" w:sz="4" w:space="0"/>
              <w:right w:val="nil"/>
            </w:tcBorders>
            <w:shd w:val="clear" w:color="auto" w:fill="auto"/>
            <w:noWrap/>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三、分区终端设备：</w:t>
            </w:r>
          </w:p>
        </w:tc>
        <w:tc>
          <w:tcPr>
            <w:tcW w:w="512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20"/>
                <w:szCs w:val="20"/>
              </w:rPr>
            </w:pPr>
          </w:p>
        </w:tc>
        <w:tc>
          <w:tcPr>
            <w:tcW w:w="678" w:type="dxa"/>
            <w:tcBorders>
              <w:top w:val="single" w:color="auto" w:sz="4" w:space="0"/>
              <w:left w:val="single" w:color="auto" w:sz="4" w:space="0"/>
              <w:bottom w:val="single" w:color="auto" w:sz="4" w:space="0"/>
              <w:right w:val="nil"/>
            </w:tcBorders>
            <w:shd w:val="clear" w:color="auto" w:fill="auto"/>
            <w:noWrap/>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1071" w:type="dxa"/>
            <w:tcBorders>
              <w:top w:val="single" w:color="auto" w:sz="4" w:space="0"/>
              <w:left w:val="nil"/>
              <w:bottom w:val="single" w:color="auto" w:sz="4" w:space="0"/>
              <w:right w:val="nil"/>
            </w:tcBorders>
            <w:shd w:val="clear" w:color="auto" w:fill="auto"/>
            <w:noWrap/>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4500" w:hRule="atLeast"/>
        </w:trPr>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51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定压功放</w:t>
            </w:r>
          </w:p>
        </w:tc>
        <w:tc>
          <w:tcPr>
            <w:tcW w:w="512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限流、限幅保护装置；</w:t>
            </w:r>
            <w:r>
              <w:rPr>
                <w:rFonts w:hint="eastAsia" w:ascii="宋体" w:hAnsi="宋体" w:cs="宋体"/>
                <w:kern w:val="0"/>
                <w:sz w:val="18"/>
                <w:szCs w:val="18"/>
              </w:rPr>
              <w:br w:type="textWrapping"/>
            </w:r>
            <w:r>
              <w:rPr>
                <w:rFonts w:hint="eastAsia" w:ascii="宋体" w:hAnsi="宋体" w:cs="宋体"/>
                <w:kern w:val="0"/>
                <w:sz w:val="18"/>
                <w:szCs w:val="18"/>
              </w:rPr>
              <w:t>具有输出削峰，过载指示灯便于调节音量音质；</w:t>
            </w:r>
            <w:r>
              <w:rPr>
                <w:rFonts w:hint="eastAsia" w:ascii="宋体" w:hAnsi="宋体" w:cs="宋体"/>
                <w:kern w:val="0"/>
                <w:sz w:val="18"/>
                <w:szCs w:val="18"/>
              </w:rPr>
              <w:br w:type="textWrapping"/>
            </w:r>
            <w:r>
              <w:rPr>
                <w:rFonts w:hint="eastAsia" w:ascii="宋体" w:hAnsi="宋体" w:cs="宋体"/>
                <w:kern w:val="0"/>
                <w:sz w:val="18"/>
                <w:szCs w:val="18"/>
              </w:rPr>
              <w:t>一路线路输入，一路线路输出可串联其他同类功放；</w:t>
            </w:r>
            <w:r>
              <w:rPr>
                <w:rFonts w:hint="eastAsia" w:ascii="宋体" w:hAnsi="宋体" w:cs="宋体"/>
                <w:kern w:val="0"/>
                <w:sz w:val="18"/>
                <w:szCs w:val="18"/>
              </w:rPr>
              <w:br w:type="textWrapping"/>
            </w:r>
            <w:r>
              <w:rPr>
                <w:rFonts w:hint="eastAsia" w:ascii="宋体" w:hAnsi="宋体" w:cs="宋体"/>
                <w:kern w:val="0"/>
                <w:sz w:val="18"/>
                <w:szCs w:val="18"/>
              </w:rPr>
              <w:t>输出采用定压式可减少损耗，使输出和负载优化匹配；</w:t>
            </w:r>
            <w:r>
              <w:rPr>
                <w:rFonts w:hint="eastAsia" w:ascii="宋体" w:hAnsi="宋体" w:cs="宋体"/>
                <w:kern w:val="0"/>
                <w:sz w:val="18"/>
                <w:szCs w:val="18"/>
              </w:rPr>
              <w:br w:type="textWrapping"/>
            </w:r>
            <w:r>
              <w:rPr>
                <w:rFonts w:hint="eastAsia" w:ascii="宋体" w:hAnsi="宋体" w:cs="宋体"/>
                <w:kern w:val="0"/>
                <w:sz w:val="18"/>
                <w:szCs w:val="18"/>
              </w:rPr>
              <w:t>单路独立音量调节；</w:t>
            </w:r>
            <w:r>
              <w:rPr>
                <w:rFonts w:hint="eastAsia" w:ascii="宋体" w:hAnsi="宋体" w:cs="宋体"/>
                <w:kern w:val="0"/>
                <w:sz w:val="18"/>
                <w:szCs w:val="18"/>
              </w:rPr>
              <w:br w:type="textWrapping"/>
            </w:r>
            <w:r>
              <w:rPr>
                <w:rFonts w:hint="eastAsia" w:ascii="宋体" w:hAnsi="宋体" w:cs="宋体"/>
                <w:kern w:val="0"/>
                <w:sz w:val="18"/>
                <w:szCs w:val="18"/>
              </w:rPr>
              <w:t>功率输出(额定)：1500W</w:t>
            </w:r>
            <w:r>
              <w:rPr>
                <w:rFonts w:hint="eastAsia" w:ascii="宋体" w:hAnsi="宋体" w:cs="宋体"/>
                <w:kern w:val="0"/>
                <w:sz w:val="18"/>
                <w:szCs w:val="18"/>
              </w:rPr>
              <w:br w:type="textWrapping"/>
            </w:r>
            <w:r>
              <w:rPr>
                <w:rFonts w:hint="eastAsia" w:ascii="宋体" w:hAnsi="宋体" w:cs="宋体"/>
                <w:kern w:val="0"/>
                <w:sz w:val="18"/>
                <w:szCs w:val="18"/>
              </w:rPr>
              <w:t>功率输出(最大)：1800W</w:t>
            </w:r>
            <w:r>
              <w:rPr>
                <w:rFonts w:hint="eastAsia" w:ascii="宋体" w:hAnsi="宋体" w:cs="宋体"/>
                <w:kern w:val="0"/>
                <w:sz w:val="18"/>
                <w:szCs w:val="18"/>
              </w:rPr>
              <w:br w:type="textWrapping"/>
            </w:r>
            <w:r>
              <w:rPr>
                <w:rFonts w:hint="eastAsia" w:ascii="宋体" w:hAnsi="宋体" w:cs="宋体"/>
                <w:kern w:val="0"/>
                <w:sz w:val="18"/>
                <w:szCs w:val="18"/>
              </w:rPr>
              <w:t>线路输入：1V　10KΩ(0db)</w:t>
            </w:r>
            <w:r>
              <w:rPr>
                <w:rFonts w:hint="eastAsia" w:ascii="宋体" w:hAnsi="宋体" w:cs="宋体"/>
                <w:kern w:val="0"/>
                <w:sz w:val="18"/>
                <w:szCs w:val="18"/>
              </w:rPr>
              <w:br w:type="textWrapping"/>
            </w:r>
            <w:r>
              <w:rPr>
                <w:rFonts w:hint="eastAsia" w:ascii="宋体" w:hAnsi="宋体" w:cs="宋体"/>
                <w:kern w:val="0"/>
                <w:sz w:val="18"/>
                <w:szCs w:val="18"/>
              </w:rPr>
              <w:t>线路输出：1V　600Ω</w:t>
            </w:r>
            <w:r>
              <w:rPr>
                <w:rFonts w:hint="eastAsia" w:ascii="宋体" w:hAnsi="宋体" w:cs="宋体"/>
                <w:kern w:val="0"/>
                <w:sz w:val="18"/>
                <w:szCs w:val="18"/>
              </w:rPr>
              <w:br w:type="textWrapping"/>
            </w:r>
            <w:r>
              <w:rPr>
                <w:rFonts w:hint="eastAsia" w:ascii="宋体" w:hAnsi="宋体" w:cs="宋体"/>
                <w:kern w:val="0"/>
                <w:sz w:val="18"/>
                <w:szCs w:val="18"/>
              </w:rPr>
              <w:t>频响：20HZ~20KHZ　±２db</w:t>
            </w:r>
            <w:r>
              <w:rPr>
                <w:rFonts w:hint="eastAsia" w:ascii="宋体" w:hAnsi="宋体" w:cs="宋体"/>
                <w:kern w:val="0"/>
                <w:sz w:val="18"/>
                <w:szCs w:val="18"/>
              </w:rPr>
              <w:br w:type="textWrapping"/>
            </w:r>
            <w:r>
              <w:rPr>
                <w:rFonts w:hint="eastAsia" w:ascii="宋体" w:hAnsi="宋体" w:cs="宋体"/>
                <w:kern w:val="0"/>
                <w:sz w:val="18"/>
                <w:szCs w:val="18"/>
              </w:rPr>
              <w:t>信噪比：≥80db</w:t>
            </w:r>
            <w:r>
              <w:rPr>
                <w:rFonts w:hint="eastAsia" w:ascii="宋体" w:hAnsi="宋体" w:cs="宋体"/>
                <w:kern w:val="0"/>
                <w:sz w:val="18"/>
                <w:szCs w:val="18"/>
              </w:rPr>
              <w:br w:type="textWrapping"/>
            </w:r>
            <w:r>
              <w:rPr>
                <w:rFonts w:hint="eastAsia" w:ascii="宋体" w:hAnsi="宋体" w:cs="宋体"/>
                <w:kern w:val="0"/>
                <w:sz w:val="18"/>
                <w:szCs w:val="18"/>
              </w:rPr>
              <w:t>失真度：≤1% 　1/3额定功率</w:t>
            </w:r>
            <w:r>
              <w:rPr>
                <w:rFonts w:hint="eastAsia" w:ascii="宋体" w:hAnsi="宋体" w:cs="宋体"/>
                <w:kern w:val="0"/>
                <w:sz w:val="18"/>
                <w:szCs w:val="18"/>
              </w:rPr>
              <w:br w:type="textWrapping"/>
            </w:r>
            <w:r>
              <w:rPr>
                <w:rFonts w:hint="eastAsia" w:ascii="宋体" w:hAnsi="宋体" w:cs="宋体"/>
                <w:kern w:val="0"/>
                <w:sz w:val="18"/>
                <w:szCs w:val="18"/>
              </w:rPr>
              <w:t>输出电压100V：负荷阻抗8Ω</w:t>
            </w:r>
            <w:r>
              <w:rPr>
                <w:rFonts w:hint="eastAsia" w:ascii="宋体" w:hAnsi="宋体" w:cs="宋体"/>
                <w:kern w:val="0"/>
                <w:sz w:val="18"/>
                <w:szCs w:val="18"/>
              </w:rPr>
              <w:br w:type="textWrapping"/>
            </w:r>
            <w:r>
              <w:rPr>
                <w:rFonts w:hint="eastAsia" w:ascii="宋体" w:hAnsi="宋体" w:cs="宋体"/>
                <w:kern w:val="0"/>
                <w:sz w:val="18"/>
                <w:szCs w:val="18"/>
              </w:rPr>
              <w:t>电源电压：220V±22V</w:t>
            </w:r>
            <w:r>
              <w:rPr>
                <w:rFonts w:hint="eastAsia" w:ascii="宋体" w:hAnsi="宋体" w:cs="宋体"/>
                <w:kern w:val="0"/>
                <w:sz w:val="18"/>
                <w:szCs w:val="18"/>
              </w:rPr>
              <w:br w:type="textWrapping"/>
            </w:r>
            <w:r>
              <w:rPr>
                <w:rFonts w:hint="eastAsia" w:ascii="宋体" w:hAnsi="宋体" w:cs="宋体"/>
                <w:kern w:val="0"/>
                <w:sz w:val="18"/>
                <w:szCs w:val="18"/>
              </w:rPr>
              <w:t>电源频率：50Hz±2Hz</w:t>
            </w:r>
            <w:r>
              <w:rPr>
                <w:rFonts w:hint="eastAsia" w:ascii="宋体" w:hAnsi="宋体" w:cs="宋体"/>
                <w:kern w:val="0"/>
                <w:sz w:val="18"/>
                <w:szCs w:val="18"/>
              </w:rPr>
              <w:br w:type="textWrapping"/>
            </w:r>
            <w:r>
              <w:rPr>
                <w:rFonts w:hint="eastAsia" w:ascii="宋体" w:hAnsi="宋体" w:cs="宋体"/>
                <w:kern w:val="0"/>
                <w:sz w:val="18"/>
                <w:szCs w:val="18"/>
              </w:rPr>
              <w:t>电源保险丝：AC 6A*1 φ6*30</w:t>
            </w:r>
            <w:r>
              <w:rPr>
                <w:rFonts w:hint="eastAsia" w:ascii="宋体" w:hAnsi="宋体" w:cs="宋体"/>
                <w:kern w:val="0"/>
                <w:sz w:val="18"/>
                <w:szCs w:val="18"/>
              </w:rPr>
              <w:br w:type="textWrapping"/>
            </w:r>
            <w:r>
              <w:rPr>
                <w:rFonts w:hint="eastAsia" w:ascii="宋体" w:hAnsi="宋体" w:cs="宋体"/>
                <w:kern w:val="0"/>
                <w:sz w:val="18"/>
                <w:szCs w:val="18"/>
              </w:rPr>
              <w:t>电源功耗(最大)：1850W</w:t>
            </w:r>
            <w:r>
              <w:rPr>
                <w:rFonts w:hint="eastAsia" w:ascii="宋体" w:hAnsi="宋体" w:cs="宋体"/>
                <w:kern w:val="0"/>
                <w:sz w:val="18"/>
                <w:szCs w:val="18"/>
              </w:rPr>
              <w:br w:type="textWrapping"/>
            </w:r>
            <w:r>
              <w:rPr>
                <w:rFonts w:hint="eastAsia" w:ascii="宋体" w:hAnsi="宋体" w:cs="宋体"/>
                <w:kern w:val="0"/>
                <w:sz w:val="18"/>
                <w:szCs w:val="18"/>
              </w:rPr>
              <w:t>外型尺寸(mm)：482(W)*450(D)*138(H)</w:t>
            </w:r>
            <w:r>
              <w:rPr>
                <w:rFonts w:hint="eastAsia" w:ascii="宋体" w:hAnsi="宋体" w:cs="宋体"/>
                <w:kern w:val="0"/>
                <w:sz w:val="18"/>
                <w:szCs w:val="18"/>
              </w:rPr>
              <w:br w:type="textWrapping"/>
            </w:r>
            <w:r>
              <w:rPr>
                <w:rFonts w:hint="eastAsia" w:ascii="宋体" w:hAnsi="宋体" w:cs="宋体"/>
                <w:kern w:val="0"/>
                <w:sz w:val="18"/>
                <w:szCs w:val="18"/>
              </w:rPr>
              <w:t>重量(Kg)：30</w:t>
            </w:r>
            <w:r>
              <w:rPr>
                <w:rFonts w:hint="eastAsia" w:ascii="宋体" w:hAnsi="宋体" w:cs="宋体"/>
                <w:kern w:val="0"/>
                <w:sz w:val="18"/>
                <w:szCs w:val="18"/>
              </w:rPr>
              <w:br w:type="textWrapping"/>
            </w:r>
            <w:r>
              <w:rPr>
                <w:rFonts w:hint="eastAsia" w:ascii="宋体" w:hAnsi="宋体" w:cs="宋体"/>
                <w:kern w:val="0"/>
                <w:sz w:val="18"/>
                <w:szCs w:val="18"/>
              </w:rPr>
              <w:t>颜色：前面板金属银白色/后箱体黑色</w:t>
            </w:r>
          </w:p>
        </w:tc>
        <w:tc>
          <w:tcPr>
            <w:tcW w:w="6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0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r>
      <w:tr>
        <w:tblPrEx>
          <w:tblCellMar>
            <w:top w:w="0" w:type="dxa"/>
            <w:left w:w="108" w:type="dxa"/>
            <w:bottom w:w="0" w:type="dxa"/>
            <w:right w:w="108" w:type="dxa"/>
          </w:tblCellMar>
        </w:tblPrEx>
        <w:trPr>
          <w:trHeight w:val="2025" w:hRule="atLeast"/>
        </w:trPr>
        <w:tc>
          <w:tcPr>
            <w:tcW w:w="10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普通吸顶音箱</w:t>
            </w:r>
          </w:p>
        </w:tc>
        <w:tc>
          <w:tcPr>
            <w:tcW w:w="51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★输出功率 6W</w:t>
            </w:r>
            <w:r>
              <w:rPr>
                <w:rFonts w:hint="eastAsia" w:ascii="宋体" w:hAnsi="宋体" w:cs="宋体"/>
                <w:kern w:val="0"/>
                <w:sz w:val="18"/>
                <w:szCs w:val="18"/>
              </w:rPr>
              <w:br w:type="textWrapping"/>
            </w:r>
            <w:r>
              <w:rPr>
                <w:rFonts w:hint="eastAsia" w:ascii="宋体" w:hAnsi="宋体" w:cs="宋体"/>
                <w:kern w:val="0"/>
                <w:sz w:val="18"/>
                <w:szCs w:val="18"/>
              </w:rPr>
              <w:t>阻抗 1.7KΩ</w:t>
            </w:r>
            <w:r>
              <w:rPr>
                <w:rFonts w:hint="eastAsia" w:ascii="宋体" w:hAnsi="宋体" w:cs="宋体"/>
                <w:kern w:val="0"/>
                <w:sz w:val="18"/>
                <w:szCs w:val="18"/>
              </w:rPr>
              <w:br w:type="textWrapping"/>
            </w:r>
            <w:r>
              <w:rPr>
                <w:rFonts w:hint="eastAsia" w:ascii="宋体" w:hAnsi="宋体" w:cs="宋体"/>
                <w:kern w:val="0"/>
                <w:sz w:val="18"/>
                <w:szCs w:val="18"/>
              </w:rPr>
              <w:t>★频响 120-15KHZ</w:t>
            </w:r>
            <w:r>
              <w:rPr>
                <w:rFonts w:hint="eastAsia" w:ascii="宋体" w:hAnsi="宋体" w:cs="宋体"/>
                <w:kern w:val="0"/>
                <w:sz w:val="18"/>
                <w:szCs w:val="18"/>
              </w:rPr>
              <w:br w:type="textWrapping"/>
            </w:r>
            <w:r>
              <w:rPr>
                <w:rFonts w:hint="eastAsia" w:ascii="宋体" w:hAnsi="宋体" w:cs="宋体"/>
                <w:kern w:val="0"/>
                <w:sz w:val="18"/>
                <w:szCs w:val="18"/>
              </w:rPr>
              <w:t>★灵敏度 94db</w:t>
            </w:r>
            <w:r>
              <w:rPr>
                <w:rFonts w:hint="eastAsia" w:ascii="宋体" w:hAnsi="宋体" w:cs="宋体"/>
                <w:kern w:val="0"/>
                <w:sz w:val="18"/>
                <w:szCs w:val="18"/>
              </w:rPr>
              <w:br w:type="textWrapping"/>
            </w:r>
            <w:r>
              <w:rPr>
                <w:rFonts w:hint="eastAsia" w:ascii="宋体" w:hAnsi="宋体" w:cs="宋体"/>
                <w:kern w:val="0"/>
                <w:sz w:val="18"/>
                <w:szCs w:val="18"/>
              </w:rPr>
              <w:t>尺寸(mm) φ180*130</w:t>
            </w:r>
            <w:r>
              <w:rPr>
                <w:rFonts w:hint="eastAsia" w:ascii="宋体" w:hAnsi="宋体" w:cs="宋体"/>
                <w:kern w:val="0"/>
                <w:sz w:val="18"/>
                <w:szCs w:val="18"/>
              </w:rPr>
              <w:br w:type="textWrapping"/>
            </w:r>
            <w:r>
              <w:rPr>
                <w:rFonts w:hint="eastAsia" w:ascii="宋体" w:hAnsi="宋体" w:cs="宋体"/>
                <w:kern w:val="0"/>
                <w:sz w:val="18"/>
                <w:szCs w:val="18"/>
              </w:rPr>
              <w:t>开孔尺寸(mm)：φ155</w:t>
            </w:r>
            <w:r>
              <w:rPr>
                <w:rFonts w:hint="eastAsia" w:ascii="宋体" w:hAnsi="宋体" w:cs="宋体"/>
                <w:kern w:val="0"/>
                <w:sz w:val="18"/>
                <w:szCs w:val="18"/>
              </w:rPr>
              <w:br w:type="textWrapping"/>
            </w:r>
            <w:r>
              <w:rPr>
                <w:rFonts w:hint="eastAsia" w:ascii="宋体" w:hAnsi="宋体" w:cs="宋体"/>
                <w:kern w:val="0"/>
                <w:sz w:val="18"/>
                <w:szCs w:val="18"/>
              </w:rPr>
              <w:t>扬声器单元：5寸全频扬声器</w:t>
            </w:r>
            <w:r>
              <w:rPr>
                <w:rFonts w:hint="eastAsia" w:ascii="宋体" w:hAnsi="宋体" w:cs="宋体"/>
                <w:kern w:val="0"/>
                <w:sz w:val="18"/>
                <w:szCs w:val="18"/>
              </w:rPr>
              <w:br w:type="textWrapping"/>
            </w:r>
            <w:r>
              <w:rPr>
                <w:rFonts w:hint="eastAsia" w:ascii="宋体" w:hAnsi="宋体" w:cs="宋体"/>
                <w:kern w:val="0"/>
                <w:sz w:val="18"/>
                <w:szCs w:val="18"/>
              </w:rPr>
              <w:t>安装方式：嵌入式</w:t>
            </w:r>
            <w:r>
              <w:rPr>
                <w:rFonts w:hint="eastAsia" w:ascii="宋体" w:hAnsi="宋体" w:cs="宋体"/>
                <w:kern w:val="0"/>
                <w:sz w:val="18"/>
                <w:szCs w:val="18"/>
              </w:rPr>
              <w:br w:type="textWrapping"/>
            </w:r>
            <w:r>
              <w:rPr>
                <w:rFonts w:hint="eastAsia" w:ascii="宋体" w:hAnsi="宋体" w:cs="宋体"/>
                <w:kern w:val="0"/>
                <w:sz w:val="18"/>
                <w:szCs w:val="18"/>
              </w:rPr>
              <w:t>面罩类型:金属网罩</w:t>
            </w:r>
          </w:p>
        </w:tc>
        <w:tc>
          <w:tcPr>
            <w:tcW w:w="6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118</w:t>
            </w:r>
          </w:p>
        </w:tc>
      </w:tr>
      <w:tr>
        <w:tblPrEx>
          <w:tblCellMar>
            <w:top w:w="0" w:type="dxa"/>
            <w:left w:w="108" w:type="dxa"/>
            <w:bottom w:w="0" w:type="dxa"/>
            <w:right w:w="108" w:type="dxa"/>
          </w:tblCellMar>
        </w:tblPrEx>
        <w:trPr>
          <w:trHeight w:val="1350" w:hRule="atLeast"/>
        </w:trPr>
        <w:tc>
          <w:tcPr>
            <w:tcW w:w="10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明吸顶音箱</w:t>
            </w:r>
          </w:p>
        </w:tc>
        <w:tc>
          <w:tcPr>
            <w:tcW w:w="51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额定电压：100V</w:t>
            </w:r>
            <w:r>
              <w:rPr>
                <w:rFonts w:hint="eastAsia" w:ascii="宋体" w:hAnsi="宋体" w:cs="宋体"/>
                <w:kern w:val="0"/>
                <w:sz w:val="18"/>
                <w:szCs w:val="18"/>
              </w:rPr>
              <w:br w:type="textWrapping"/>
            </w:r>
            <w:r>
              <w:rPr>
                <w:rFonts w:hint="eastAsia" w:ascii="宋体" w:hAnsi="宋体" w:cs="宋体"/>
                <w:kern w:val="0"/>
                <w:sz w:val="18"/>
                <w:szCs w:val="18"/>
              </w:rPr>
              <w:t>★额定功率：5W</w:t>
            </w:r>
            <w:r>
              <w:rPr>
                <w:rFonts w:hint="eastAsia" w:ascii="宋体" w:hAnsi="宋体" w:cs="宋体"/>
                <w:kern w:val="0"/>
                <w:sz w:val="18"/>
                <w:szCs w:val="18"/>
              </w:rPr>
              <w:br w:type="textWrapping"/>
            </w:r>
            <w:r>
              <w:rPr>
                <w:rFonts w:hint="eastAsia" w:ascii="宋体" w:hAnsi="宋体" w:cs="宋体"/>
                <w:kern w:val="0"/>
                <w:sz w:val="18"/>
                <w:szCs w:val="18"/>
              </w:rPr>
              <w:t>★灵敏度： 92dB</w:t>
            </w:r>
            <w:r>
              <w:rPr>
                <w:rFonts w:hint="eastAsia" w:ascii="宋体" w:hAnsi="宋体" w:cs="宋体"/>
                <w:kern w:val="0"/>
                <w:sz w:val="18"/>
                <w:szCs w:val="18"/>
              </w:rPr>
              <w:br w:type="textWrapping"/>
            </w:r>
            <w:r>
              <w:rPr>
                <w:rFonts w:hint="eastAsia" w:ascii="宋体" w:hAnsi="宋体" w:cs="宋体"/>
                <w:kern w:val="0"/>
                <w:sz w:val="18"/>
                <w:szCs w:val="18"/>
              </w:rPr>
              <w:t>★频率响应：150-12KHz</w:t>
            </w:r>
            <w:r>
              <w:rPr>
                <w:rFonts w:hint="eastAsia" w:ascii="宋体" w:hAnsi="宋体" w:cs="宋体"/>
                <w:kern w:val="0"/>
                <w:sz w:val="18"/>
                <w:szCs w:val="18"/>
              </w:rPr>
              <w:br w:type="textWrapping"/>
            </w:r>
            <w:r>
              <w:rPr>
                <w:rFonts w:hint="eastAsia" w:ascii="宋体" w:hAnsi="宋体" w:cs="宋体"/>
                <w:kern w:val="0"/>
                <w:sz w:val="18"/>
                <w:szCs w:val="18"/>
              </w:rPr>
              <w:t>尺寸(mm)：φ180*70</w:t>
            </w:r>
            <w:r>
              <w:rPr>
                <w:rFonts w:hint="eastAsia" w:ascii="宋体" w:hAnsi="宋体" w:cs="宋体"/>
                <w:kern w:val="0"/>
                <w:sz w:val="18"/>
                <w:szCs w:val="18"/>
              </w:rPr>
              <w:br w:type="textWrapping"/>
            </w:r>
            <w:r>
              <w:rPr>
                <w:rFonts w:hint="eastAsia" w:ascii="宋体" w:hAnsi="宋体" w:cs="宋体"/>
                <w:kern w:val="0"/>
                <w:sz w:val="18"/>
                <w:szCs w:val="18"/>
              </w:rPr>
              <w:t>安装方式 :明装(自攻螺丝)</w:t>
            </w:r>
          </w:p>
        </w:tc>
        <w:tc>
          <w:tcPr>
            <w:tcW w:w="6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r>
      <w:tr>
        <w:tblPrEx>
          <w:tblCellMar>
            <w:top w:w="0" w:type="dxa"/>
            <w:left w:w="108" w:type="dxa"/>
            <w:bottom w:w="0" w:type="dxa"/>
            <w:right w:w="108" w:type="dxa"/>
          </w:tblCellMar>
        </w:tblPrEx>
        <w:trPr>
          <w:trHeight w:val="240" w:hRule="atLeast"/>
        </w:trPr>
        <w:tc>
          <w:tcPr>
            <w:tcW w:w="10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16</w:t>
            </w:r>
          </w:p>
        </w:tc>
        <w:tc>
          <w:tcPr>
            <w:tcW w:w="15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音频连接线</w:t>
            </w:r>
          </w:p>
        </w:tc>
        <w:tc>
          <w:tcPr>
            <w:tcW w:w="51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1.8米音频连接线：3.5（耳机插头）-双莲花（RCA）</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条</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240" w:hRule="atLeast"/>
        </w:trPr>
        <w:tc>
          <w:tcPr>
            <w:tcW w:w="1034" w:type="dxa"/>
            <w:tcBorders>
              <w:top w:val="single" w:color="auto" w:sz="4" w:space="0"/>
              <w:left w:val="single" w:color="auto" w:sz="8" w:space="0"/>
              <w:bottom w:val="single" w:color="auto" w:sz="4" w:space="0"/>
              <w:right w:val="nil"/>
            </w:tcBorders>
            <w:shd w:val="clear" w:color="auto" w:fill="auto"/>
            <w:noWrap/>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四、线材：</w:t>
            </w:r>
          </w:p>
        </w:tc>
        <w:tc>
          <w:tcPr>
            <w:tcW w:w="151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1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5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音频连接线</w:t>
            </w:r>
          </w:p>
        </w:tc>
        <w:tc>
          <w:tcPr>
            <w:tcW w:w="51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1.8米音频连接线：莲花（RCA）-莲花（RCA）</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条</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240" w:hRule="atLeast"/>
        </w:trPr>
        <w:tc>
          <w:tcPr>
            <w:tcW w:w="10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5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三极电源插头</w:t>
            </w:r>
          </w:p>
        </w:tc>
        <w:tc>
          <w:tcPr>
            <w:tcW w:w="5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10A</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r>
      <w:tr>
        <w:tblPrEx>
          <w:tblCellMar>
            <w:top w:w="0" w:type="dxa"/>
            <w:left w:w="108" w:type="dxa"/>
            <w:bottom w:w="0" w:type="dxa"/>
            <w:right w:w="108" w:type="dxa"/>
          </w:tblCellMar>
        </w:tblPrEx>
        <w:trPr>
          <w:trHeight w:val="285" w:hRule="atLeast"/>
        </w:trPr>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广播线</w:t>
            </w:r>
          </w:p>
        </w:tc>
        <w:tc>
          <w:tcPr>
            <w:tcW w:w="51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2×1.5mm</w:t>
            </w:r>
            <w:r>
              <w:rPr>
                <w:rFonts w:hint="eastAsia" w:ascii="宋体" w:hAnsi="宋体" w:cs="宋体"/>
                <w:kern w:val="0"/>
                <w:sz w:val="20"/>
                <w:szCs w:val="20"/>
                <w:vertAlign w:val="superscript"/>
              </w:rPr>
              <w:t>2</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10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4000</w:t>
            </w:r>
          </w:p>
        </w:tc>
      </w:tr>
    </w:tbl>
    <w:p>
      <w:pPr>
        <w:spacing w:line="360" w:lineRule="auto"/>
        <w:ind w:firstLine="482" w:firstLineChars="200"/>
        <w:rPr>
          <w:rFonts w:ascii="宋体" w:hAnsi="宋体"/>
          <w:b/>
          <w:sz w:val="24"/>
          <w:szCs w:val="28"/>
        </w:rPr>
      </w:pPr>
      <w:bookmarkStart w:id="24" w:name="_Toc29394986"/>
      <w:r>
        <w:rPr>
          <w:rFonts w:hint="eastAsia" w:ascii="宋体" w:hAnsi="宋体"/>
          <w:b/>
          <w:sz w:val="24"/>
          <w:szCs w:val="28"/>
        </w:rPr>
        <w:t>注：</w:t>
      </w:r>
    </w:p>
    <w:p>
      <w:pPr>
        <w:spacing w:line="360" w:lineRule="auto"/>
        <w:ind w:firstLine="482" w:firstLineChars="200"/>
        <w:rPr>
          <w:rFonts w:ascii="宋体" w:hAnsi="宋体"/>
          <w:b/>
          <w:sz w:val="24"/>
          <w:szCs w:val="28"/>
        </w:rPr>
      </w:pPr>
      <w:r>
        <w:rPr>
          <w:rFonts w:hint="eastAsia" w:ascii="宋体" w:hAnsi="宋体"/>
          <w:b/>
          <w:sz w:val="24"/>
          <w:szCs w:val="28"/>
        </w:rPr>
        <w:t>1.招标需求各子系统中要求提供的检测报告、原厂授权、质保函、证书、检测报告等，均不作为初审要求，投标人须在投标文件中承诺将于合同签订前向招标人提供招标需求中要求的资料，否则按自愿放弃中标资格并承担由此带来的一切后果。</w:t>
      </w:r>
    </w:p>
    <w:p>
      <w:pPr>
        <w:spacing w:line="360" w:lineRule="auto"/>
        <w:ind w:firstLine="482" w:firstLineChars="200"/>
        <w:rPr>
          <w:rFonts w:ascii="宋体" w:hAnsi="宋体"/>
          <w:b/>
          <w:sz w:val="24"/>
          <w:szCs w:val="28"/>
        </w:rPr>
      </w:pPr>
      <w:r>
        <w:rPr>
          <w:rFonts w:hint="eastAsia" w:ascii="宋体" w:hAnsi="宋体"/>
          <w:b/>
          <w:sz w:val="24"/>
          <w:szCs w:val="28"/>
        </w:rPr>
        <w:t>2.本招标需求中所有标注“</w:t>
      </w:r>
      <w:r>
        <w:rPr>
          <w:rFonts w:hint="eastAsia" w:ascii="宋体" w:hAnsi="宋体" w:cs="宋体"/>
          <w:kern w:val="0"/>
          <w:sz w:val="18"/>
          <w:szCs w:val="18"/>
        </w:rPr>
        <w:t>★</w:t>
      </w:r>
      <w:r>
        <w:rPr>
          <w:rFonts w:hint="eastAsia" w:ascii="宋体" w:hAnsi="宋体"/>
          <w:b/>
          <w:sz w:val="24"/>
          <w:szCs w:val="28"/>
        </w:rPr>
        <w:t>”标识条款，要求提供的检测报告、原厂授权、质保函、证书、检测报告等，均做为竣工报告内容的一部分，无法提供、弄虚作假一经发现的不予竣工验收，由此造成的一切后果由投标人自行承担；</w:t>
      </w:r>
    </w:p>
    <w:p>
      <w:pPr>
        <w:pStyle w:val="4"/>
        <w:spacing w:line="360" w:lineRule="auto"/>
        <w:rPr>
          <w:rFonts w:hAnsi="宋体"/>
          <w:sz w:val="24"/>
          <w:szCs w:val="24"/>
        </w:rPr>
      </w:pPr>
      <w:r>
        <w:rPr>
          <w:rFonts w:hint="eastAsia" w:hAnsi="宋体"/>
          <w:sz w:val="24"/>
          <w:szCs w:val="24"/>
        </w:rPr>
        <w:t>八、推荐品牌</w:t>
      </w:r>
      <w:bookmarkEnd w:id="24"/>
    </w:p>
    <w:tbl>
      <w:tblPr>
        <w:tblStyle w:val="24"/>
        <w:tblW w:w="9120" w:type="dxa"/>
        <w:jc w:val="center"/>
        <w:tblLayout w:type="autofit"/>
        <w:tblCellMar>
          <w:top w:w="0" w:type="dxa"/>
          <w:left w:w="108" w:type="dxa"/>
          <w:bottom w:w="0" w:type="dxa"/>
          <w:right w:w="108" w:type="dxa"/>
        </w:tblCellMar>
      </w:tblPr>
      <w:tblGrid>
        <w:gridCol w:w="840"/>
        <w:gridCol w:w="1820"/>
        <w:gridCol w:w="3880"/>
        <w:gridCol w:w="2580"/>
      </w:tblGrid>
      <w:tr>
        <w:tblPrEx>
          <w:tblCellMar>
            <w:top w:w="0" w:type="dxa"/>
            <w:left w:w="108" w:type="dxa"/>
            <w:bottom w:w="0" w:type="dxa"/>
            <w:right w:w="108" w:type="dxa"/>
          </w:tblCellMar>
        </w:tblPrEx>
        <w:trPr>
          <w:trHeight w:val="499"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8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弱电子系统</w:t>
            </w:r>
          </w:p>
        </w:tc>
        <w:tc>
          <w:tcPr>
            <w:tcW w:w="3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设备（材料）名称</w:t>
            </w:r>
          </w:p>
        </w:tc>
        <w:tc>
          <w:tcPr>
            <w:tcW w:w="25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推荐品牌</w:t>
            </w:r>
          </w:p>
        </w:tc>
      </w:tr>
      <w:tr>
        <w:tblPrEx>
          <w:tblCellMar>
            <w:top w:w="0" w:type="dxa"/>
            <w:left w:w="108" w:type="dxa"/>
            <w:bottom w:w="0" w:type="dxa"/>
            <w:right w:w="108" w:type="dxa"/>
          </w:tblCellMar>
        </w:tblPrEx>
        <w:trPr>
          <w:trHeight w:val="499" w:hRule="atLeast"/>
          <w:jc w:val="center"/>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综合布线</w:t>
            </w:r>
          </w:p>
        </w:tc>
        <w:tc>
          <w:tcPr>
            <w:tcW w:w="38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网线、光纤</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兰贝、爱谱华顿、FHT</w:t>
            </w:r>
          </w:p>
        </w:tc>
      </w:tr>
      <w:tr>
        <w:tblPrEx>
          <w:tblCellMar>
            <w:top w:w="0" w:type="dxa"/>
            <w:left w:w="108" w:type="dxa"/>
            <w:bottom w:w="0" w:type="dxa"/>
            <w:right w:w="108" w:type="dxa"/>
          </w:tblCellMar>
        </w:tblPrEx>
        <w:trPr>
          <w:trHeight w:val="499" w:hRule="atLeast"/>
          <w:jc w:val="center"/>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38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机柜</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飞凯、兰贝、普地</w:t>
            </w:r>
          </w:p>
        </w:tc>
      </w:tr>
      <w:tr>
        <w:tblPrEx>
          <w:tblCellMar>
            <w:top w:w="0" w:type="dxa"/>
            <w:left w:w="108" w:type="dxa"/>
            <w:bottom w:w="0" w:type="dxa"/>
            <w:right w:w="108" w:type="dxa"/>
          </w:tblCellMar>
        </w:tblPrEx>
        <w:trPr>
          <w:trHeight w:val="499" w:hRule="atLeast"/>
          <w:jc w:val="center"/>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38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电气配管</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正大、华朔、伟星</w:t>
            </w:r>
          </w:p>
        </w:tc>
      </w:tr>
      <w:tr>
        <w:tblPrEx>
          <w:tblCellMar>
            <w:top w:w="0" w:type="dxa"/>
            <w:left w:w="108" w:type="dxa"/>
            <w:bottom w:w="0" w:type="dxa"/>
            <w:right w:w="108" w:type="dxa"/>
          </w:tblCellMar>
        </w:tblPrEx>
        <w:trPr>
          <w:trHeight w:val="499" w:hRule="atLeast"/>
          <w:jc w:val="center"/>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38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桥架</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中马、博天、天安</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语音系统</w:t>
            </w:r>
          </w:p>
        </w:tc>
        <w:tc>
          <w:tcPr>
            <w:tcW w:w="38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皮线光缆</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兰贝、爱谱华顿、FHT</w:t>
            </w:r>
          </w:p>
        </w:tc>
      </w:tr>
      <w:tr>
        <w:tblPrEx>
          <w:tblCellMar>
            <w:top w:w="0" w:type="dxa"/>
            <w:left w:w="108" w:type="dxa"/>
            <w:bottom w:w="0" w:type="dxa"/>
            <w:right w:w="108" w:type="dxa"/>
          </w:tblCellMar>
        </w:tblPrEx>
        <w:trPr>
          <w:trHeight w:val="499" w:hRule="atLeast"/>
          <w:jc w:val="center"/>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计算机网络设备</w:t>
            </w:r>
          </w:p>
        </w:tc>
        <w:tc>
          <w:tcPr>
            <w:tcW w:w="38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交换机、无线AP</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华为、新华三、思科</w:t>
            </w:r>
          </w:p>
        </w:tc>
      </w:tr>
      <w:tr>
        <w:tblPrEx>
          <w:tblCellMar>
            <w:top w:w="0" w:type="dxa"/>
            <w:left w:w="108" w:type="dxa"/>
            <w:bottom w:w="0" w:type="dxa"/>
            <w:right w:w="108" w:type="dxa"/>
          </w:tblCellMar>
        </w:tblPrEx>
        <w:trPr>
          <w:trHeight w:val="499" w:hRule="atLeast"/>
          <w:jc w:val="center"/>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38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防火墙</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华为、新华三、网神</w:t>
            </w:r>
          </w:p>
        </w:tc>
      </w:tr>
      <w:tr>
        <w:tblPrEx>
          <w:tblCellMar>
            <w:top w:w="0" w:type="dxa"/>
            <w:left w:w="108" w:type="dxa"/>
            <w:bottom w:w="0" w:type="dxa"/>
            <w:right w:w="108" w:type="dxa"/>
          </w:tblCellMar>
        </w:tblPrEx>
        <w:trPr>
          <w:trHeight w:val="499" w:hRule="atLeast"/>
          <w:jc w:val="center"/>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38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上网行为管理</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华为、新华三、深信服</w:t>
            </w:r>
          </w:p>
        </w:tc>
      </w:tr>
      <w:tr>
        <w:tblPrEx>
          <w:tblCellMar>
            <w:top w:w="0" w:type="dxa"/>
            <w:left w:w="108" w:type="dxa"/>
            <w:bottom w:w="0" w:type="dxa"/>
            <w:right w:w="108" w:type="dxa"/>
          </w:tblCellMar>
        </w:tblPrEx>
        <w:trPr>
          <w:trHeight w:val="499" w:hRule="atLeast"/>
          <w:jc w:val="center"/>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机房工程设备</w:t>
            </w:r>
          </w:p>
        </w:tc>
        <w:tc>
          <w:tcPr>
            <w:tcW w:w="38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UPS</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山特、台达、伊顿</w:t>
            </w:r>
          </w:p>
        </w:tc>
      </w:tr>
      <w:tr>
        <w:tblPrEx>
          <w:tblCellMar>
            <w:top w:w="0" w:type="dxa"/>
            <w:left w:w="108" w:type="dxa"/>
            <w:bottom w:w="0" w:type="dxa"/>
            <w:right w:w="108" w:type="dxa"/>
          </w:tblCellMar>
        </w:tblPrEx>
        <w:trPr>
          <w:trHeight w:val="499" w:hRule="atLeast"/>
          <w:jc w:val="center"/>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rPr>
            </w:pPr>
          </w:p>
        </w:tc>
        <w:tc>
          <w:tcPr>
            <w:tcW w:w="38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防静电地板</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金腾，自力、恒欣</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安防系统</w:t>
            </w:r>
          </w:p>
        </w:tc>
        <w:tc>
          <w:tcPr>
            <w:tcW w:w="38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摄像机、NVR、拼接屏</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海康、大华、天地伟业</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8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广播系统</w:t>
            </w:r>
          </w:p>
        </w:tc>
        <w:tc>
          <w:tcPr>
            <w:tcW w:w="38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分区矩阵器、定压功放、吸顶音箱</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霍尼韦尔、ITC、BGM</w:t>
            </w:r>
          </w:p>
        </w:tc>
      </w:tr>
    </w:tbl>
    <w:p>
      <w:pPr>
        <w:jc w:val="center"/>
        <w:rPr>
          <w:rFonts w:ascii="宋体" w:hAnsi="宋体"/>
          <w:b/>
          <w:sz w:val="24"/>
        </w:rPr>
      </w:pPr>
    </w:p>
    <w:p>
      <w:pPr>
        <w:spacing w:line="360" w:lineRule="auto"/>
        <w:rPr>
          <w:rFonts w:ascii="宋体" w:hAnsi="宋体"/>
          <w:b/>
          <w:sz w:val="24"/>
        </w:rPr>
      </w:pPr>
      <w:r>
        <w:rPr>
          <w:rFonts w:hint="eastAsia" w:ascii="宋体" w:hAnsi="宋体"/>
          <w:b/>
          <w:sz w:val="24"/>
        </w:rPr>
        <w:tab/>
      </w: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pStyle w:val="2"/>
        <w:numPr>
          <w:ilvl w:val="0"/>
          <w:numId w:val="0"/>
        </w:numPr>
      </w:pPr>
      <w:bookmarkStart w:id="25" w:name="_Toc29394987"/>
      <w:r>
        <w:rPr>
          <w:rFonts w:hint="eastAsia"/>
        </w:rPr>
        <w:t>第五章 合同</w:t>
      </w:r>
      <w:bookmarkEnd w:id="25"/>
    </w:p>
    <w:p>
      <w:pPr>
        <w:tabs>
          <w:tab w:val="left" w:pos="360"/>
          <w:tab w:val="left" w:pos="540"/>
          <w:tab w:val="left" w:pos="3600"/>
          <w:tab w:val="left" w:pos="3780"/>
          <w:tab w:val="left" w:pos="8460"/>
          <w:tab w:val="left" w:pos="9180"/>
        </w:tabs>
        <w:adjustRightInd w:val="0"/>
        <w:snapToGrid w:val="0"/>
        <w:ind w:right="-21" w:rightChars="-10"/>
        <w:rPr>
          <w:rFonts w:ascii="宋体" w:hAnsi="宋体"/>
          <w:sz w:val="24"/>
          <w:u w:val="single"/>
        </w:rPr>
      </w:pPr>
      <w:r>
        <w:rPr>
          <w:rFonts w:hint="eastAsia" w:ascii="宋体" w:hAnsi="宋体"/>
          <w:sz w:val="24"/>
        </w:rPr>
        <w:t>招标人</w:t>
      </w:r>
      <w:r>
        <w:rPr>
          <w:rFonts w:ascii="宋体" w:hAnsi="宋体"/>
          <w:sz w:val="24"/>
        </w:rPr>
        <w:t>（甲方）：</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供货人</w:t>
      </w:r>
      <w:r>
        <w:rPr>
          <w:rFonts w:ascii="宋体" w:hAnsi="宋体"/>
          <w:sz w:val="24"/>
        </w:rPr>
        <w:t>（乙方）</w:t>
      </w:r>
      <w:r>
        <w:rPr>
          <w:rFonts w:hint="eastAsia"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签订地点：</w:t>
      </w:r>
      <w:r>
        <w:rPr>
          <w:rFonts w:ascii="宋体" w:hAnsi="宋体"/>
          <w:sz w:val="24"/>
        </w:rPr>
        <w:t xml:space="preserve"> </w:t>
      </w:r>
    </w:p>
    <w:p>
      <w:pPr>
        <w:spacing w:line="360" w:lineRule="auto"/>
        <w:rPr>
          <w:rFonts w:hint="eastAsia" w:ascii="宋体" w:hAnsi="宋体" w:eastAsia="宋体"/>
          <w:sz w:val="24"/>
          <w:lang w:eastAsia="zh-CN"/>
        </w:rPr>
      </w:pPr>
      <w:r>
        <w:rPr>
          <w:rFonts w:hint="eastAsia" w:ascii="宋体" w:hAnsi="宋体"/>
          <w:sz w:val="24"/>
        </w:rPr>
        <w:t>项目名称：商业大厦弱电系统升级改造</w:t>
      </w:r>
      <w:r>
        <w:rPr>
          <w:rFonts w:hint="eastAsia" w:ascii="宋体" w:hAnsi="宋体"/>
          <w:sz w:val="24"/>
          <w:lang w:eastAsia="zh-CN"/>
        </w:rPr>
        <w:t>工程</w:t>
      </w:r>
    </w:p>
    <w:p>
      <w:pPr>
        <w:spacing w:line="360" w:lineRule="auto"/>
        <w:rPr>
          <w:rFonts w:ascii="宋体" w:hAnsi="宋体"/>
          <w:sz w:val="24"/>
        </w:rPr>
      </w:pPr>
      <w:r>
        <w:rPr>
          <w:rFonts w:hint="eastAsia" w:ascii="宋体" w:hAnsi="宋体"/>
          <w:sz w:val="24"/>
        </w:rPr>
        <w:t>项目编号：</w:t>
      </w:r>
    </w:p>
    <w:p>
      <w:pPr>
        <w:spacing w:before="156" w:beforeLines="50" w:beforeAutospacing="1" w:after="93" w:afterLines="30" w:afterAutospacing="1" w:line="360" w:lineRule="auto"/>
        <w:ind w:firstLine="460" w:firstLineChars="192"/>
        <w:rPr>
          <w:rFonts w:ascii="宋体" w:hAnsi="宋体"/>
          <w:sz w:val="24"/>
        </w:rPr>
      </w:pPr>
      <w:r>
        <w:rPr>
          <w:rFonts w:hint="eastAsia" w:ascii="宋体" w:hAnsi="宋体"/>
          <w:sz w:val="24"/>
        </w:rPr>
        <w:t>本项目采用</w:t>
      </w:r>
      <w:r>
        <w:rPr>
          <w:rFonts w:hint="eastAsia" w:ascii="宋体" w:hAnsi="宋体"/>
          <w:sz w:val="24"/>
          <w:u w:val="single"/>
        </w:rPr>
        <w:t>公开招标</w:t>
      </w:r>
      <w:r>
        <w:rPr>
          <w:rFonts w:hint="eastAsia" w:ascii="宋体" w:hAnsi="宋体"/>
          <w:sz w:val="24"/>
        </w:rPr>
        <w:t>方式，经本项目评审委员会认真评审，决定将采购合同授予乙方。为进一步明确双方的责任，确保合同的顺利履行，</w:t>
      </w:r>
      <w:r>
        <w:rPr>
          <w:rFonts w:ascii="宋体" w:hAnsi="宋体"/>
          <w:sz w:val="24"/>
        </w:rPr>
        <w:t>根据《中华人民共和国合同法》之规定，经甲乙双方充分协商，特订立</w:t>
      </w:r>
      <w:r>
        <w:rPr>
          <w:rFonts w:hint="eastAsia" w:ascii="宋体" w:hAnsi="宋体"/>
          <w:sz w:val="24"/>
        </w:rPr>
        <w:t>本</w:t>
      </w:r>
      <w:r>
        <w:rPr>
          <w:rFonts w:ascii="宋体" w:hAnsi="宋体"/>
          <w:sz w:val="24"/>
        </w:rPr>
        <w:t>合同，以便共同遵守。</w:t>
      </w:r>
    </w:p>
    <w:p>
      <w:pPr>
        <w:spacing w:before="156" w:beforeLines="50" w:beforeAutospacing="1" w:after="93" w:afterLines="30" w:afterAutospacing="1" w:line="360" w:lineRule="auto"/>
        <w:rPr>
          <w:rFonts w:ascii="宋体" w:hAnsi="宋体"/>
          <w:sz w:val="24"/>
          <w:u w:val="single"/>
        </w:rPr>
      </w:pPr>
      <w:r>
        <w:rPr>
          <w:rFonts w:ascii="宋体" w:hAnsi="宋体"/>
          <w:b/>
          <w:bCs/>
          <w:sz w:val="24"/>
        </w:rPr>
        <w:t>第一条</w:t>
      </w:r>
      <w:r>
        <w:rPr>
          <w:rFonts w:ascii="宋体" w:hAnsi="宋体"/>
          <w:sz w:val="24"/>
        </w:rPr>
        <w:t> 产品的名称、品种、规格</w:t>
      </w:r>
      <w:r>
        <w:rPr>
          <w:rFonts w:hint="eastAsia" w:ascii="宋体" w:hAnsi="宋体"/>
          <w:sz w:val="24"/>
        </w:rPr>
        <w:t>、数量和价格：详见附表（附表须双方加盖印章）</w:t>
      </w:r>
    </w:p>
    <w:p>
      <w:pPr>
        <w:spacing w:before="156" w:beforeLines="50" w:beforeAutospacing="1" w:after="93" w:afterLines="30" w:afterAutospacing="1" w:line="360" w:lineRule="auto"/>
        <w:rPr>
          <w:rFonts w:ascii="宋体" w:hAnsi="宋体"/>
          <w:sz w:val="24"/>
        </w:rPr>
      </w:pPr>
      <w:r>
        <w:rPr>
          <w:rFonts w:hint="eastAsia" w:ascii="宋体" w:hAnsi="宋体"/>
          <w:b/>
          <w:bCs/>
          <w:sz w:val="24"/>
        </w:rPr>
        <w:t xml:space="preserve">第二条  </w:t>
      </w:r>
      <w:r>
        <w:rPr>
          <w:rFonts w:ascii="宋体" w:hAnsi="宋体"/>
          <w:sz w:val="24"/>
        </w:rPr>
        <w:t xml:space="preserve">产品的技术标准（包括质量要求），按下列第（ </w:t>
      </w:r>
      <w:r>
        <w:rPr>
          <w:rFonts w:hint="eastAsia" w:ascii="宋体" w:hAnsi="宋体"/>
          <w:sz w:val="24"/>
        </w:rPr>
        <w:t xml:space="preserve">1 </w:t>
      </w:r>
      <w:r>
        <w:rPr>
          <w:rFonts w:ascii="宋体" w:hAnsi="宋体"/>
          <w:sz w:val="24"/>
        </w:rPr>
        <w:t>）</w:t>
      </w:r>
      <w:r>
        <w:rPr>
          <w:rFonts w:hint="eastAsia" w:ascii="宋体" w:hAnsi="宋体"/>
          <w:sz w:val="24"/>
        </w:rPr>
        <w:t>（4）</w:t>
      </w:r>
      <w:r>
        <w:rPr>
          <w:rFonts w:ascii="宋体" w:hAnsi="宋体"/>
          <w:sz w:val="24"/>
        </w:rPr>
        <w:t>项执行：</w:t>
      </w:r>
    </w:p>
    <w:p>
      <w:pPr>
        <w:spacing w:before="156" w:beforeLines="50" w:beforeAutospacing="1" w:after="93" w:afterLines="30" w:afterAutospacing="1" w:line="360" w:lineRule="auto"/>
        <w:rPr>
          <w:rFonts w:ascii="宋体" w:hAnsi="宋体"/>
          <w:sz w:val="24"/>
        </w:rPr>
      </w:pPr>
      <w:r>
        <w:rPr>
          <w:rFonts w:hint="eastAsia" w:ascii="宋体" w:hAnsi="宋体"/>
          <w:sz w:val="24"/>
        </w:rPr>
        <w:t>（1）</w:t>
      </w:r>
      <w:r>
        <w:rPr>
          <w:rFonts w:ascii="宋体" w:hAnsi="宋体"/>
          <w:sz w:val="24"/>
        </w:rPr>
        <w:t>按国家标准执行；（2）按部颁标准执行；（3）</w:t>
      </w:r>
      <w:r>
        <w:rPr>
          <w:rFonts w:hint="eastAsia" w:ascii="宋体" w:hAnsi="宋体"/>
          <w:sz w:val="24"/>
        </w:rPr>
        <w:t>若无以上标准，则应不低于同行业质量标准；（4）</w:t>
      </w:r>
      <w:r>
        <w:rPr>
          <w:rFonts w:ascii="宋体" w:hAnsi="宋体"/>
          <w:sz w:val="24"/>
        </w:rPr>
        <w:t>有特殊要求的，按甲乙双方在合同中商定的技术条件、样品或补充的技术要求执行</w:t>
      </w:r>
      <w:r>
        <w:rPr>
          <w:rFonts w:hint="eastAsia" w:ascii="宋体" w:hAnsi="宋体"/>
          <w:sz w:val="24"/>
        </w:rPr>
        <w:t>；</w:t>
      </w:r>
    </w:p>
    <w:p>
      <w:pPr>
        <w:spacing w:before="156" w:beforeLines="50" w:beforeAutospacing="1" w:after="93" w:afterLines="30" w:afterAutospacing="1" w:line="360" w:lineRule="auto"/>
        <w:ind w:firstLine="448" w:firstLineChars="187"/>
        <w:rPr>
          <w:rFonts w:ascii="宋体" w:hAnsi="宋体"/>
          <w:sz w:val="24"/>
        </w:rPr>
      </w:pPr>
      <w:r>
        <w:rPr>
          <w:rFonts w:hint="eastAsia" w:ascii="宋体" w:hAnsi="宋体"/>
          <w:sz w:val="24"/>
        </w:rPr>
        <w:t>乙方提供和交付的货物技术标准应与招标文件规定的技术标准相一致。若技术标准中无相应规定，所投货物应符合相应的国际标准或原产地国家有关部门最新颁布的相应的正式标准。</w:t>
      </w:r>
    </w:p>
    <w:p>
      <w:pPr>
        <w:spacing w:before="156" w:beforeLines="50" w:beforeAutospacing="1" w:after="93" w:afterLines="30" w:afterAutospacing="1" w:line="360" w:lineRule="auto"/>
        <w:ind w:firstLine="460" w:firstLineChars="192"/>
        <w:rPr>
          <w:rFonts w:ascii="宋体" w:hAnsi="宋体"/>
          <w:sz w:val="24"/>
          <w:u w:val="single"/>
        </w:rPr>
      </w:pPr>
      <w:r>
        <w:rPr>
          <w:rFonts w:hint="eastAsia" w:ascii="宋体" w:hAnsi="宋体"/>
          <w:sz w:val="24"/>
        </w:rPr>
        <w:t>进口产品的质量标准为</w:t>
      </w:r>
      <w:r>
        <w:rPr>
          <w:rFonts w:hint="eastAsia" w:ascii="宋体" w:hAnsi="宋体"/>
          <w:sz w:val="24"/>
          <w:u w:val="single"/>
        </w:rPr>
        <w:t xml:space="preserve">                                                               </w:t>
      </w:r>
    </w:p>
    <w:p>
      <w:pPr>
        <w:pStyle w:val="14"/>
        <w:spacing w:before="156" w:beforeAutospacing="1" w:after="93" w:afterLines="30" w:afterAutospacing="1" w:line="360" w:lineRule="auto"/>
        <w:rPr>
          <w:rFonts w:ascii="宋体" w:hAnsi="宋体"/>
          <w:sz w:val="24"/>
        </w:rPr>
      </w:pPr>
      <w:r>
        <w:rPr>
          <w:rFonts w:hint="eastAsia" w:ascii="宋体" w:hAnsi="宋体"/>
          <w:sz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pStyle w:val="14"/>
        <w:spacing w:before="156" w:beforeAutospacing="1" w:after="93" w:afterLines="30" w:afterAutospacing="1" w:line="360" w:lineRule="auto"/>
        <w:ind w:left="0" w:leftChars="0"/>
        <w:rPr>
          <w:rFonts w:ascii="宋体" w:hAnsi="宋体"/>
          <w:sz w:val="24"/>
        </w:rPr>
      </w:pPr>
      <w:r>
        <w:rPr>
          <w:rFonts w:hint="eastAsia" w:ascii="宋体" w:hAnsi="宋体"/>
          <w:b/>
          <w:bCs/>
          <w:sz w:val="24"/>
        </w:rPr>
        <w:t>第</w:t>
      </w:r>
      <w:r>
        <w:rPr>
          <w:rFonts w:ascii="宋体" w:hAnsi="宋体"/>
          <w:b/>
          <w:bCs/>
          <w:sz w:val="24"/>
        </w:rPr>
        <w:t>三</w:t>
      </w:r>
      <w:r>
        <w:rPr>
          <w:rFonts w:hint="eastAsia" w:ascii="宋体" w:hAnsi="宋体"/>
          <w:b/>
          <w:bCs/>
          <w:sz w:val="24"/>
        </w:rPr>
        <w:t xml:space="preserve">条  </w:t>
      </w:r>
      <w:r>
        <w:rPr>
          <w:rFonts w:ascii="宋体" w:hAnsi="宋体"/>
          <w:sz w:val="24"/>
        </w:rPr>
        <w:t>产品的包装标准和包装物的供应与回收</w:t>
      </w:r>
      <w:r>
        <w:rPr>
          <w:rFonts w:hint="eastAsia" w:ascii="宋体" w:hAnsi="宋体"/>
          <w:sz w:val="24"/>
          <w:u w:val="single"/>
        </w:rPr>
        <w:t>原厂原包装，包装不回收</w:t>
      </w:r>
      <w:r>
        <w:rPr>
          <w:rFonts w:ascii="宋体" w:hAnsi="宋体"/>
          <w:sz w:val="24"/>
          <w:u w:val="single"/>
        </w:rPr>
        <w:t> </w:t>
      </w:r>
      <w:r>
        <w:rPr>
          <w:rFonts w:hint="eastAsia" w:ascii="宋体" w:hAnsi="宋体"/>
          <w:sz w:val="24"/>
        </w:rPr>
        <w:t>。乙方所供货物的制造商原装出厂包装箱与设备出场批号一致。</w:t>
      </w:r>
    </w:p>
    <w:p>
      <w:pPr>
        <w:spacing w:before="156" w:beforeLines="50" w:beforeAutospacing="1" w:after="93" w:afterLines="30" w:afterAutospacing="1" w:line="360" w:lineRule="auto"/>
        <w:rPr>
          <w:rFonts w:ascii="宋体" w:hAnsi="宋体"/>
          <w:sz w:val="24"/>
        </w:rPr>
      </w:pPr>
      <w:r>
        <w:rPr>
          <w:rFonts w:ascii="宋体" w:hAnsi="宋体"/>
          <w:sz w:val="24"/>
        </w:rPr>
        <w:t>（国家或业务主管部门有技术规定的，按技术规定执行；国家与业务主管部门无技术规定的，由甲乙双方商定。）</w:t>
      </w:r>
    </w:p>
    <w:p>
      <w:pPr>
        <w:spacing w:before="156" w:beforeLines="50" w:beforeAutospacing="1" w:after="93" w:afterLines="30" w:afterAutospacing="1" w:line="360" w:lineRule="auto"/>
        <w:rPr>
          <w:rFonts w:ascii="宋体" w:hAnsi="宋体"/>
          <w:sz w:val="24"/>
        </w:rPr>
      </w:pPr>
      <w:r>
        <w:rPr>
          <w:rFonts w:hint="eastAsia" w:ascii="宋体" w:hAnsi="宋体"/>
          <w:sz w:val="24"/>
        </w:rPr>
        <w:t>【注：合同中约定的包装标准应与乙方在投标书中承诺的一致，且投标书应作为合同附件与合同具有同等法律效力。】</w:t>
      </w:r>
    </w:p>
    <w:p>
      <w:pPr>
        <w:spacing w:before="156" w:beforeLines="50" w:beforeAutospacing="1" w:after="93" w:afterLines="30" w:afterAutospacing="1" w:line="360" w:lineRule="auto"/>
        <w:ind w:firstLine="480" w:firstLineChars="200"/>
        <w:rPr>
          <w:rFonts w:ascii="宋体"/>
          <w:sz w:val="24"/>
        </w:rPr>
      </w:pPr>
      <w:r>
        <w:rPr>
          <w:rFonts w:hint="eastAsia" w:ascii="宋体" w:hAnsi="宋体"/>
          <w:sz w:val="24"/>
        </w:rPr>
        <w:t>包装必须与运输方式相适应，包装方式的确定及包装费用均由乙方负责，由于不适当的包装而造成货物在运输过程中有任何损坏、丢失由乙方负责。</w:t>
      </w:r>
    </w:p>
    <w:p>
      <w:pPr>
        <w:spacing w:before="156" w:beforeLines="50" w:beforeAutospacing="1" w:after="93" w:afterLines="30" w:afterAutospacing="1" w:line="360" w:lineRule="auto"/>
        <w:ind w:firstLine="480" w:firstLineChars="200"/>
        <w:rPr>
          <w:rFonts w:ascii="宋体" w:hAnsi="宋体"/>
          <w:sz w:val="24"/>
        </w:rPr>
      </w:pPr>
      <w:r>
        <w:rPr>
          <w:rFonts w:hint="eastAsia" w:ascii="宋体" w:hAnsi="宋体"/>
          <w:sz w:val="24"/>
        </w:rPr>
        <w:t>货物在验收合格前的保险由乙方负责，并负责其派出的现场服务人员人身意外保险。</w:t>
      </w:r>
    </w:p>
    <w:p>
      <w:pPr>
        <w:spacing w:before="156" w:beforeLines="50" w:beforeAutospacing="1" w:after="93" w:afterLines="30" w:afterAutospacing="1"/>
        <w:rPr>
          <w:rFonts w:ascii="宋体" w:hAnsi="宋体"/>
          <w:sz w:val="24"/>
        </w:rPr>
      </w:pPr>
      <w:r>
        <w:rPr>
          <w:rFonts w:hint="eastAsia" w:ascii="宋体" w:hAnsi="宋体"/>
          <w:b/>
          <w:bCs/>
          <w:sz w:val="24"/>
        </w:rPr>
        <w:t xml:space="preserve">第四条  </w:t>
      </w:r>
      <w:r>
        <w:rPr>
          <w:rFonts w:ascii="宋体" w:hAnsi="宋体"/>
          <w:sz w:val="24"/>
        </w:rPr>
        <w:t>产品的交货方法、到货地点</w:t>
      </w:r>
      <w:r>
        <w:rPr>
          <w:rFonts w:hint="eastAsia" w:ascii="宋体" w:hAnsi="宋体"/>
          <w:sz w:val="24"/>
        </w:rPr>
        <w:t>和交货期限</w:t>
      </w:r>
    </w:p>
    <w:p>
      <w:pPr>
        <w:spacing w:before="156" w:beforeLines="50" w:beforeAutospacing="1" w:after="93" w:afterLines="30" w:afterAutospacing="1"/>
        <w:rPr>
          <w:rFonts w:ascii="宋体" w:hAnsi="宋体"/>
          <w:sz w:val="24"/>
        </w:rPr>
      </w:pPr>
      <w:r>
        <w:rPr>
          <w:rFonts w:hint="eastAsia" w:ascii="宋体" w:hAnsi="宋体"/>
          <w:sz w:val="24"/>
        </w:rPr>
        <w:t>1.</w:t>
      </w:r>
      <w:r>
        <w:rPr>
          <w:rFonts w:ascii="宋体" w:hAnsi="宋体"/>
          <w:sz w:val="24"/>
        </w:rPr>
        <w:t>交货方法，按下列第（</w:t>
      </w:r>
      <w:r>
        <w:rPr>
          <w:rFonts w:hint="eastAsia" w:ascii="宋体" w:hAnsi="宋体"/>
          <w:sz w:val="24"/>
        </w:rPr>
        <w:t xml:space="preserve"> 1</w:t>
      </w:r>
      <w:r>
        <w:rPr>
          <w:rFonts w:ascii="宋体" w:hAnsi="宋体"/>
          <w:sz w:val="24"/>
        </w:rPr>
        <w:t xml:space="preserve"> ）项执行：</w:t>
      </w:r>
    </w:p>
    <w:p>
      <w:pPr>
        <w:numPr>
          <w:ilvl w:val="0"/>
          <w:numId w:val="5"/>
        </w:numPr>
        <w:spacing w:before="156" w:beforeLines="50" w:beforeAutospacing="1" w:after="93" w:afterLines="30" w:afterAutospacing="1"/>
        <w:rPr>
          <w:rFonts w:ascii="宋体" w:hAnsi="宋体"/>
          <w:sz w:val="24"/>
        </w:rPr>
      </w:pPr>
      <w:r>
        <w:rPr>
          <w:rFonts w:ascii="宋体" w:hAnsi="宋体"/>
          <w:sz w:val="24"/>
        </w:rPr>
        <w:t>乙方送货</w:t>
      </w:r>
      <w:r>
        <w:rPr>
          <w:rFonts w:hint="eastAsia" w:ascii="宋体" w:hAnsi="宋体"/>
          <w:sz w:val="24"/>
        </w:rPr>
        <w:t>上门；</w:t>
      </w:r>
      <w:r>
        <w:rPr>
          <w:rFonts w:ascii="宋体" w:hAnsi="宋体"/>
          <w:sz w:val="24"/>
        </w:rPr>
        <w:t>（2）乙方代运；（3）甲方自提自运。</w:t>
      </w:r>
    </w:p>
    <w:p>
      <w:pPr>
        <w:spacing w:before="156" w:beforeLines="50" w:beforeAutospacing="1" w:after="93" w:afterLines="30" w:afterAutospacing="1"/>
        <w:rPr>
          <w:rFonts w:ascii="宋体" w:hAnsi="宋体"/>
          <w:sz w:val="24"/>
        </w:rPr>
      </w:pPr>
      <w:r>
        <w:rPr>
          <w:rFonts w:hint="eastAsia" w:ascii="宋体" w:hAnsi="宋体"/>
          <w:sz w:val="24"/>
        </w:rPr>
        <w:t>2.</w:t>
      </w:r>
      <w:r>
        <w:rPr>
          <w:rFonts w:ascii="宋体" w:hAnsi="宋体"/>
          <w:sz w:val="24"/>
        </w:rPr>
        <w:t>到货地点</w:t>
      </w:r>
      <w:r>
        <w:rPr>
          <w:rFonts w:hint="eastAsia" w:ascii="宋体" w:hAnsi="宋体"/>
          <w:sz w:val="24"/>
        </w:rPr>
        <w:t>：</w:t>
      </w:r>
      <w:r>
        <w:rPr>
          <w:rFonts w:hint="eastAsia" w:ascii="宋体" w:hAnsi="宋体"/>
          <w:sz w:val="24"/>
          <w:u w:val="single"/>
        </w:rPr>
        <w:t xml:space="preserve">                       </w:t>
      </w:r>
      <w:r>
        <w:rPr>
          <w:rFonts w:ascii="宋体" w:hAnsi="宋体"/>
          <w:sz w:val="24"/>
          <w:u w:val="single"/>
        </w:rPr>
        <w:t>(</w:t>
      </w:r>
      <w:r>
        <w:rPr>
          <w:rFonts w:hint="eastAsia" w:ascii="宋体" w:hAnsi="宋体"/>
          <w:sz w:val="24"/>
        </w:rPr>
        <w:t>安装并调试。)</w:t>
      </w:r>
    </w:p>
    <w:p>
      <w:pPr>
        <w:spacing w:before="156" w:beforeLines="50" w:beforeAutospacing="1" w:after="93" w:afterLines="30" w:afterAutospacing="1"/>
        <w:rPr>
          <w:rFonts w:ascii="宋体" w:hAnsi="宋体"/>
          <w:sz w:val="24"/>
        </w:rPr>
      </w:pPr>
      <w:r>
        <w:rPr>
          <w:rFonts w:hint="eastAsia" w:ascii="宋体" w:hAnsi="宋体"/>
          <w:sz w:val="24"/>
        </w:rPr>
        <w:t>3.</w:t>
      </w:r>
      <w:r>
        <w:rPr>
          <w:rFonts w:ascii="宋体" w:hAnsi="宋体"/>
          <w:sz w:val="24"/>
        </w:rPr>
        <w:t>产品</w:t>
      </w:r>
      <w:r>
        <w:rPr>
          <w:rFonts w:hint="eastAsia" w:ascii="宋体" w:hAnsi="宋体"/>
          <w:sz w:val="24"/>
        </w:rPr>
        <w:t>的交货期限：</w:t>
      </w:r>
      <w:r>
        <w:rPr>
          <w:rFonts w:ascii="宋体" w:hAnsi="宋体"/>
          <w:sz w:val="24"/>
          <w:u w:val="single"/>
        </w:rPr>
        <w:t>     </w:t>
      </w:r>
      <w:r>
        <w:rPr>
          <w:rFonts w:hint="eastAsia" w:ascii="宋体" w:hAnsi="宋体"/>
          <w:sz w:val="24"/>
          <w:u w:val="single"/>
        </w:rPr>
        <w:t xml:space="preserve">                  </w:t>
      </w:r>
      <w:r>
        <w:rPr>
          <w:rFonts w:ascii="宋体" w:hAnsi="宋体"/>
          <w:sz w:val="24"/>
          <w:u w:val="single"/>
        </w:rPr>
        <w:t>   </w:t>
      </w:r>
      <w:r>
        <w:rPr>
          <w:rFonts w:ascii="宋体" w:hAnsi="宋体"/>
          <w:sz w:val="24"/>
        </w:rPr>
        <w:t>。</w:t>
      </w:r>
    </w:p>
    <w:p>
      <w:pPr>
        <w:rPr>
          <w:rFonts w:ascii="宋体" w:hAnsi="宋体"/>
          <w:sz w:val="24"/>
        </w:rPr>
      </w:pPr>
      <w:r>
        <w:rPr>
          <w:rFonts w:hint="eastAsia" w:ascii="宋体" w:hAnsi="宋体"/>
          <w:sz w:val="24"/>
        </w:rPr>
        <w:t>4.安装调试期限：</w:t>
      </w:r>
      <w:r>
        <w:rPr>
          <w:rFonts w:ascii="宋体" w:hAnsi="宋体"/>
          <w:sz w:val="24"/>
          <w:u w:val="single"/>
        </w:rPr>
        <w:t>     </w:t>
      </w:r>
      <w:r>
        <w:rPr>
          <w:rFonts w:hint="eastAsia" w:ascii="宋体" w:hAnsi="宋体"/>
          <w:sz w:val="24"/>
          <w:u w:val="single"/>
        </w:rPr>
        <w:t xml:space="preserve">                  </w:t>
      </w:r>
      <w:r>
        <w:rPr>
          <w:rFonts w:ascii="宋体" w:hAnsi="宋体"/>
          <w:sz w:val="24"/>
          <w:u w:val="single"/>
        </w:rPr>
        <w:t>  </w:t>
      </w:r>
      <w:r>
        <w:rPr>
          <w:rFonts w:hint="eastAsia" w:ascii="宋体" w:hAnsi="宋体"/>
          <w:sz w:val="24"/>
          <w:u w:val="single"/>
        </w:rPr>
        <w:t xml:space="preserve">  </w:t>
      </w:r>
      <w:r>
        <w:rPr>
          <w:rFonts w:ascii="宋体" w:hAnsi="宋体"/>
          <w:sz w:val="24"/>
          <w:u w:val="single"/>
        </w:rPr>
        <w:t> </w:t>
      </w:r>
      <w:r>
        <w:rPr>
          <w:rFonts w:ascii="宋体" w:hAnsi="宋体"/>
          <w:sz w:val="24"/>
        </w:rPr>
        <w:t>。</w:t>
      </w:r>
    </w:p>
    <w:p>
      <w:pPr>
        <w:spacing w:before="156" w:beforeLines="50" w:beforeAutospacing="1" w:after="93" w:afterLines="30" w:afterAutospacing="1"/>
        <w:rPr>
          <w:rFonts w:ascii="宋体" w:hAnsi="宋体"/>
          <w:sz w:val="24"/>
        </w:rPr>
      </w:pPr>
      <w:r>
        <w:rPr>
          <w:rFonts w:hint="eastAsia" w:ascii="宋体" w:hAnsi="宋体"/>
          <w:b/>
          <w:bCs/>
          <w:sz w:val="24"/>
        </w:rPr>
        <w:t>第五条</w:t>
      </w:r>
      <w:r>
        <w:rPr>
          <w:rFonts w:hint="eastAsia" w:ascii="宋体" w:hAnsi="宋体"/>
          <w:sz w:val="24"/>
        </w:rPr>
        <w:t xml:space="preserve">  合同总价款</w:t>
      </w:r>
    </w:p>
    <w:p>
      <w:pPr>
        <w:spacing w:line="360" w:lineRule="auto"/>
        <w:ind w:firstLine="420"/>
        <w:rPr>
          <w:rFonts w:ascii="宋体" w:hAnsi="Arial"/>
          <w:sz w:val="24"/>
        </w:rPr>
      </w:pPr>
      <w:r>
        <w:rPr>
          <w:rFonts w:hint="eastAsia" w:ascii="宋体" w:hAnsi="宋体"/>
          <w:sz w:val="24"/>
        </w:rPr>
        <w:t>合同总价款（大小写）：</w:t>
      </w:r>
      <w:r>
        <w:rPr>
          <w:rFonts w:hint="eastAsia" w:ascii="宋体" w:hAnsi="宋体"/>
          <w:sz w:val="24"/>
          <w:u w:val="single"/>
        </w:rPr>
        <w:t xml:space="preserve">                   </w:t>
      </w:r>
      <w:r>
        <w:rPr>
          <w:rFonts w:hint="eastAsia" w:ascii="宋体" w:hAnsi="宋体"/>
          <w:sz w:val="24"/>
        </w:rPr>
        <w:t>其中，设备款为</w:t>
      </w:r>
      <w:r>
        <w:rPr>
          <w:rFonts w:hint="eastAsia" w:ascii="宋体" w:hAnsi="宋体"/>
          <w:sz w:val="24"/>
          <w:u w:val="single"/>
        </w:rPr>
        <w:t xml:space="preserve">        </w:t>
      </w:r>
      <w:r>
        <w:rPr>
          <w:rFonts w:hint="eastAsia" w:ascii="宋体" w:hAnsi="宋体"/>
          <w:sz w:val="24"/>
        </w:rPr>
        <w:t>元，安装工程性工程款为</w:t>
      </w:r>
      <w:r>
        <w:rPr>
          <w:rFonts w:hint="eastAsia" w:ascii="宋体" w:hAnsi="宋体"/>
          <w:sz w:val="24"/>
          <w:u w:val="single"/>
        </w:rPr>
        <w:t xml:space="preserve">                         </w:t>
      </w:r>
      <w:r>
        <w:rPr>
          <w:rFonts w:hint="eastAsia" w:ascii="宋体" w:hAnsi="宋体"/>
          <w:sz w:val="24"/>
        </w:rPr>
        <w:t>元，</w:t>
      </w:r>
      <w:r>
        <w:rPr>
          <w:rFonts w:hint="eastAsia" w:ascii="宋体" w:hAnsi="Arial"/>
          <w:sz w:val="24"/>
        </w:rPr>
        <w:t>其中工资性工程款为</w:t>
      </w:r>
      <w:r>
        <w:rPr>
          <w:rFonts w:hint="eastAsia" w:ascii="宋体" w:hAnsi="Arial"/>
          <w:sz w:val="24"/>
          <w:u w:val="none"/>
        </w:rPr>
        <w:t>_</w:t>
      </w:r>
      <w:r>
        <w:rPr>
          <w:rFonts w:ascii="宋体" w:hAnsi="Arial"/>
          <w:sz w:val="24"/>
          <w:u w:val="none"/>
        </w:rPr>
        <w:t>_____________</w:t>
      </w:r>
      <w:r>
        <w:rPr>
          <w:rFonts w:hint="eastAsia" w:ascii="宋体" w:hAnsi="Arial"/>
          <w:sz w:val="24"/>
        </w:rPr>
        <w:t>元（安装工程性工程款*20%）。</w:t>
      </w:r>
    </w:p>
    <w:p>
      <w:pPr>
        <w:spacing w:line="420" w:lineRule="atLeast"/>
        <w:ind w:firstLine="420"/>
        <w:rPr>
          <w:rFonts w:ascii="宋体"/>
          <w:sz w:val="24"/>
        </w:rPr>
      </w:pPr>
      <w:r>
        <w:rPr>
          <w:rFonts w:hint="eastAsia" w:ascii="宋体" w:hAnsi="宋体"/>
          <w:sz w:val="24"/>
        </w:rPr>
        <w:t>合同总价款包含货物及所需附件购置费、包装费、运输费、人工费、保险费、安装调试费、各种税费、资料费、售后服务费、技术服务与支持费及合同实施过程中的不可预见费用等全部费用。除上述费用外，甲方无需为履行本合同承担其他任何费用。</w:t>
      </w:r>
    </w:p>
    <w:p>
      <w:pPr>
        <w:numPr>
          <w:ilvl w:val="0"/>
          <w:numId w:val="6"/>
        </w:numPr>
        <w:spacing w:before="156" w:beforeLines="50" w:beforeAutospacing="1" w:after="93" w:afterLines="30" w:afterAutospacing="1"/>
        <w:rPr>
          <w:rFonts w:ascii="宋体" w:hAnsi="宋体"/>
          <w:sz w:val="24"/>
        </w:rPr>
      </w:pPr>
      <w:r>
        <w:rPr>
          <w:rFonts w:hint="eastAsia" w:ascii="宋体" w:hAnsi="宋体"/>
          <w:sz w:val="24"/>
        </w:rPr>
        <w:t xml:space="preserve">付款条件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48" w:firstLineChars="187"/>
        <w:textAlignment w:val="auto"/>
        <w:rPr>
          <w:rFonts w:ascii="宋体" w:hAnsi="宋体"/>
          <w:sz w:val="24"/>
        </w:rPr>
      </w:pPr>
      <w:r>
        <w:rPr>
          <w:rFonts w:hint="eastAsia" w:ascii="宋体" w:hAnsi="宋体"/>
          <w:sz w:val="24"/>
        </w:rPr>
        <w:t>1. 本合同以人民币付款。</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0"/>
        <w:textAlignment w:val="auto"/>
        <w:rPr>
          <w:rFonts w:ascii="宋体" w:hAnsi="宋体"/>
          <w:sz w:val="24"/>
          <w:highlight w:val="cyan"/>
        </w:rPr>
      </w:pPr>
      <w:r>
        <w:rPr>
          <w:rFonts w:hint="eastAsia" w:ascii="宋体" w:hAnsi="宋体"/>
          <w:sz w:val="24"/>
        </w:rPr>
        <w:t>2. 具体付款方式：</w:t>
      </w:r>
    </w:p>
    <w:p>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0"/>
        <w:textAlignment w:val="auto"/>
        <w:rPr>
          <w:rFonts w:ascii="宋体" w:hAnsi="宋体"/>
          <w:bCs/>
        </w:rPr>
      </w:pPr>
      <w:r>
        <w:rPr>
          <w:rFonts w:hint="eastAsia" w:ascii="宋体" w:hAnsi="宋体"/>
          <w:bCs/>
        </w:rPr>
        <w:t>⑴ 乙方使用农民工施工时依照下列方式付款：</w:t>
      </w:r>
    </w:p>
    <w:p>
      <w:pPr>
        <w:pStyle w:val="45"/>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00" w:lineRule="exact"/>
        <w:textAlignment w:val="auto"/>
        <w:rPr>
          <w:rFonts w:ascii="宋体" w:hAnsi="宋体"/>
          <w:bCs/>
        </w:rPr>
      </w:pPr>
      <w:r>
        <w:rPr>
          <w:rFonts w:hint="eastAsia" w:ascii="宋体" w:hAnsi="宋体"/>
          <w:bCs/>
        </w:rPr>
        <w:t>货物到场验收合格后支付相应设备款的30%；</w:t>
      </w:r>
      <w:r>
        <w:rPr>
          <w:rFonts w:ascii="宋体" w:hAnsi="宋体"/>
          <w:bCs/>
        </w:rPr>
        <w:t xml:space="preserve"> </w:t>
      </w:r>
    </w:p>
    <w:p>
      <w:pPr>
        <w:pStyle w:val="45"/>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00" w:lineRule="exact"/>
        <w:textAlignment w:val="auto"/>
        <w:rPr>
          <w:rFonts w:ascii="宋体" w:hAnsi="宋体"/>
          <w:bCs/>
        </w:rPr>
      </w:pPr>
      <w:r>
        <w:rPr>
          <w:rFonts w:hint="eastAsia" w:ascii="宋体" w:hAnsi="宋体"/>
          <w:bCs/>
        </w:rPr>
        <w:t>项目整体验收合格后支付至合同总金额的60%，其中扣除至验收日当月已支付未扣回的全部农民工工资；</w:t>
      </w:r>
    </w:p>
    <w:p>
      <w:pPr>
        <w:pStyle w:val="45"/>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00" w:lineRule="exact"/>
        <w:textAlignment w:val="auto"/>
        <w:rPr>
          <w:rFonts w:ascii="宋体" w:hAnsi="宋体"/>
          <w:bCs/>
        </w:rPr>
      </w:pPr>
      <w:r>
        <w:rPr>
          <w:rFonts w:hint="eastAsia" w:ascii="宋体" w:hAnsi="宋体"/>
          <w:bCs/>
        </w:rPr>
        <w:t>决算审计后付至审计额的97%，余款作为质保金，质保期满（2年）后15</w:t>
      </w:r>
    </w:p>
    <w:p>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left="420"/>
        <w:textAlignment w:val="auto"/>
        <w:rPr>
          <w:rFonts w:ascii="宋体" w:hAnsi="宋体"/>
          <w:bCs/>
        </w:rPr>
      </w:pPr>
      <w:r>
        <w:rPr>
          <w:rFonts w:hint="eastAsia" w:ascii="宋体" w:hAnsi="宋体"/>
          <w:bCs/>
        </w:rPr>
        <w:t>个工作日内付清（无息）。</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0"/>
        <w:textAlignment w:val="auto"/>
        <w:rPr>
          <w:rFonts w:ascii="宋体" w:hAnsi="宋体"/>
          <w:bCs/>
          <w:sz w:val="24"/>
          <w:szCs w:val="20"/>
        </w:rPr>
      </w:pPr>
      <w:r>
        <w:rPr>
          <w:rFonts w:hint="eastAsia" w:ascii="宋体" w:hAnsi="宋体"/>
          <w:bCs/>
          <w:sz w:val="24"/>
        </w:rPr>
        <w:t xml:space="preserve">⑵ </w:t>
      </w:r>
      <w:r>
        <w:rPr>
          <w:rFonts w:hint="eastAsia" w:ascii="宋体" w:hAnsi="宋体"/>
          <w:bCs/>
          <w:sz w:val="24"/>
          <w:szCs w:val="20"/>
        </w:rPr>
        <w:t>乙方使用自有员工施工时依照下列方式付款：</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0"/>
        <w:textAlignment w:val="auto"/>
        <w:rPr>
          <w:rFonts w:ascii="宋体" w:hAnsi="宋体"/>
          <w:bCs/>
          <w:sz w:val="24"/>
          <w:szCs w:val="20"/>
        </w:rPr>
      </w:pPr>
      <w:r>
        <w:rPr>
          <w:rFonts w:hint="eastAsia" w:ascii="宋体" w:hAnsi="宋体"/>
          <w:bCs/>
          <w:sz w:val="24"/>
          <w:szCs w:val="20"/>
        </w:rPr>
        <w:t>货物到场验收合格后支付相应货款的30%；项目整体验收合格后支付至合同额的60%；决算审计后付至审计额的97%，余款作为质保金，质保期满（2年）后15个工作日内付清（无息）。</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480" w:leftChars="200" w:hanging="60" w:hangingChars="25"/>
        <w:textAlignment w:val="auto"/>
        <w:rPr>
          <w:rFonts w:ascii="宋体" w:hAnsi="宋体"/>
          <w:sz w:val="24"/>
        </w:rPr>
      </w:pPr>
      <w:r>
        <w:rPr>
          <w:rFonts w:hint="eastAsia" w:ascii="宋体" w:hAnsi="宋体"/>
          <w:sz w:val="24"/>
        </w:rPr>
        <w:t>3.税率要求：货物、设备采购合计金额</w:t>
      </w:r>
      <w:r>
        <w:rPr>
          <w:rFonts w:ascii="宋体" w:hAnsi="宋体"/>
          <w:sz w:val="24"/>
          <w:u w:val="single"/>
        </w:rPr>
        <w:t xml:space="preserve"> </w:t>
      </w:r>
      <w:r>
        <w:rPr>
          <w:rFonts w:ascii="宋体" w:hAnsi="宋体" w:cs="宋体"/>
          <w:b/>
          <w:bCs/>
          <w:kern w:val="0"/>
          <w:sz w:val="24"/>
          <w:u w:val="single"/>
        </w:rPr>
        <w:t xml:space="preserve">         </w:t>
      </w:r>
      <w:r>
        <w:rPr>
          <w:rFonts w:ascii="宋体" w:hAnsi="宋体"/>
          <w:sz w:val="24"/>
          <w:u w:val="single"/>
        </w:rPr>
        <w:t xml:space="preserve">  </w:t>
      </w:r>
      <w:r>
        <w:rPr>
          <w:rFonts w:hint="eastAsia" w:ascii="宋体" w:hAnsi="宋体"/>
          <w:sz w:val="24"/>
        </w:rPr>
        <w:t>元，开具</w:t>
      </w:r>
      <w:r>
        <w:rPr>
          <w:rFonts w:ascii="宋体" w:hAnsi="宋体"/>
          <w:sz w:val="24"/>
        </w:rPr>
        <w:t>13%</w:t>
      </w:r>
      <w:r>
        <w:rPr>
          <w:rFonts w:hint="eastAsia" w:ascii="宋体" w:hAnsi="宋体"/>
          <w:sz w:val="24"/>
        </w:rPr>
        <w:t>的增值税专用发票；安装工程性工程款费合计</w:t>
      </w:r>
      <w:r>
        <w:rPr>
          <w:rFonts w:ascii="宋体" w:hAnsi="宋体"/>
          <w:sz w:val="24"/>
          <w:u w:val="single"/>
        </w:rPr>
        <w:t xml:space="preserve">               </w:t>
      </w:r>
      <w:r>
        <w:rPr>
          <w:rFonts w:hint="eastAsia" w:ascii="宋体" w:hAnsi="宋体"/>
          <w:sz w:val="24"/>
        </w:rPr>
        <w:t>元，开具</w:t>
      </w:r>
      <w:r>
        <w:rPr>
          <w:rFonts w:ascii="宋体" w:hAnsi="宋体"/>
          <w:sz w:val="24"/>
        </w:rPr>
        <w:t>9%</w:t>
      </w:r>
      <w:r>
        <w:rPr>
          <w:rFonts w:hint="eastAsia" w:ascii="宋体" w:hAnsi="宋体"/>
          <w:sz w:val="24"/>
        </w:rPr>
        <w:t>的增值税专用发票。</w:t>
      </w:r>
    </w:p>
    <w:p>
      <w:pPr>
        <w:pStyle w:val="46"/>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00" w:lineRule="exact"/>
        <w:ind w:firstLineChars="0"/>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每次付款前乙方需向甲方提供对应税率的等额增值税专用发票，否则甲</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方有权拒绝付款且不视为违约。</w:t>
      </w:r>
    </w:p>
    <w:p>
      <w:pPr>
        <w:pStyle w:val="46"/>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00" w:lineRule="exact"/>
        <w:ind w:firstLineChars="0"/>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合同执行期间如遇国家税率调整，未付金额按新的税率开具等额增值税</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发票，如税率下浮的，甲方有权扣除因税率调整产生的差额部分。</w:t>
      </w:r>
    </w:p>
    <w:p>
      <w:pPr>
        <w:numPr>
          <w:ilvl w:val="0"/>
          <w:numId w:val="6"/>
        </w:numPr>
        <w:spacing w:before="156" w:beforeLines="50" w:beforeAutospacing="1" w:after="93" w:afterLines="30" w:afterAutospacing="1" w:line="360" w:lineRule="auto"/>
        <w:rPr>
          <w:rFonts w:ascii="宋体" w:hAnsi="宋体"/>
          <w:sz w:val="24"/>
        </w:rPr>
      </w:pPr>
      <w:r>
        <w:rPr>
          <w:rFonts w:hint="eastAsia" w:ascii="宋体" w:hAnsi="宋体"/>
          <w:sz w:val="24"/>
        </w:rPr>
        <w:t>施工人员及农民工工资管理</w:t>
      </w:r>
    </w:p>
    <w:p>
      <w:pPr>
        <w:tabs>
          <w:tab w:val="left" w:pos="284"/>
          <w:tab w:val="left" w:pos="1680"/>
        </w:tabs>
        <w:spacing w:line="360" w:lineRule="auto"/>
        <w:rPr>
          <w:rFonts w:ascii="宋体" w:hAnsi="宋体" w:cs="宋体"/>
          <w:b/>
          <w:szCs w:val="21"/>
        </w:rPr>
      </w:pPr>
      <w:r>
        <w:rPr>
          <w:rFonts w:ascii="宋体" w:hAnsi="宋体" w:cs="宋体"/>
          <w:b/>
          <w:szCs w:val="21"/>
        </w:rPr>
        <w:tab/>
      </w:r>
      <w:r>
        <w:rPr>
          <w:rFonts w:hint="eastAsia" w:ascii="宋体" w:hAnsi="Arial"/>
          <w:sz w:val="24"/>
        </w:rPr>
        <w:t>1.乙方</w:t>
      </w:r>
      <w:r>
        <w:rPr>
          <w:rFonts w:ascii="宋体" w:hAnsi="Arial"/>
          <w:sz w:val="24"/>
        </w:rPr>
        <w:t>须严格遵守</w:t>
      </w:r>
      <w:r>
        <w:rPr>
          <w:rFonts w:hint="eastAsia" w:ascii="宋体" w:hAnsi="Arial"/>
          <w:sz w:val="24"/>
        </w:rPr>
        <w:t>合建（</w:t>
      </w:r>
      <w:r>
        <w:rPr>
          <w:rFonts w:ascii="宋体" w:hAnsi="Arial"/>
          <w:sz w:val="24"/>
        </w:rPr>
        <w:t>2019）224号文件《关于进一步落实房屋</w:t>
      </w:r>
      <w:r>
        <w:rPr>
          <w:rFonts w:hint="eastAsia" w:ascii="宋体" w:hAnsi="Arial"/>
          <w:sz w:val="24"/>
        </w:rPr>
        <w:t>建筑和市政基础设施工程建筑工人实名制管理工作的通知》的规定，依托“合肥市建设行业监管综合服务平台”（合肥市工程建设云平台）开展项目建筑工人实名信息登记、认证、考勤、工资代发及数据上传等实名制相关工作。</w:t>
      </w:r>
      <w:r>
        <w:rPr>
          <w:rFonts w:ascii="宋体" w:hAnsi="宋体" w:cs="宋体"/>
          <w:b/>
          <w:szCs w:val="21"/>
        </w:rPr>
        <w:t xml:space="preserve"> </w:t>
      </w:r>
    </w:p>
    <w:p>
      <w:pPr>
        <w:spacing w:line="360" w:lineRule="auto"/>
        <w:ind w:firstLine="420"/>
        <w:rPr>
          <w:rFonts w:ascii="宋体" w:hAnsi="Arial"/>
          <w:sz w:val="24"/>
        </w:rPr>
      </w:pPr>
      <w:r>
        <w:rPr>
          <w:rFonts w:hint="eastAsia" w:ascii="宋体" w:hAnsi="Arial"/>
          <w:sz w:val="24"/>
        </w:rPr>
        <w:t>2.乙方在工程实施过程中用工行为，必须严格执行国家及地方政府的有关规定，依法签订劳动合同；严格按照《合肥市建设领域农民工工资专用账户管理意见》（合政办[2013]55号文件）的规定，执行农民工工资发放。</w:t>
      </w:r>
    </w:p>
    <w:p>
      <w:pPr>
        <w:spacing w:line="360" w:lineRule="auto"/>
        <w:ind w:firstLine="420"/>
        <w:rPr>
          <w:rFonts w:ascii="宋体" w:hAnsi="Arial"/>
          <w:sz w:val="24"/>
        </w:rPr>
      </w:pPr>
      <w:r>
        <w:rPr>
          <w:rFonts w:hint="eastAsia" w:ascii="宋体" w:hAnsi="Arial"/>
          <w:sz w:val="24"/>
        </w:rPr>
        <w:t>3．本工程农民工工资实行专用账户管理，承包人设立的专用账户开户行为_</w:t>
      </w:r>
      <w:r>
        <w:rPr>
          <w:rFonts w:ascii="宋体" w:hAnsi="Arial"/>
          <w:sz w:val="24"/>
        </w:rPr>
        <w:t>_____________</w:t>
      </w:r>
      <w:r>
        <w:rPr>
          <w:rFonts w:hint="eastAsia" w:ascii="宋体" w:hAnsi="Arial"/>
          <w:sz w:val="24"/>
        </w:rPr>
        <w:t>，账号：_</w:t>
      </w:r>
      <w:r>
        <w:rPr>
          <w:rFonts w:ascii="宋体" w:hAnsi="Arial"/>
          <w:sz w:val="24"/>
        </w:rPr>
        <w:t>_____________</w:t>
      </w:r>
      <w:r>
        <w:rPr>
          <w:rFonts w:hint="eastAsia" w:ascii="宋体" w:hAnsi="Arial"/>
          <w:sz w:val="24"/>
        </w:rPr>
        <w:t>;</w:t>
      </w:r>
    </w:p>
    <w:p>
      <w:pPr>
        <w:spacing w:line="360" w:lineRule="auto"/>
        <w:ind w:firstLine="420"/>
        <w:rPr>
          <w:rFonts w:ascii="宋体" w:hAnsi="Arial"/>
          <w:sz w:val="24"/>
        </w:rPr>
      </w:pPr>
      <w:r>
        <w:rPr>
          <w:rFonts w:hint="eastAsia" w:ascii="宋体" w:hAnsi="Arial"/>
          <w:sz w:val="24"/>
        </w:rPr>
        <w:t>4.</w:t>
      </w:r>
      <w:r>
        <w:rPr>
          <w:rFonts w:ascii="宋体" w:hAnsi="Arial"/>
          <w:sz w:val="24"/>
        </w:rPr>
        <w:t xml:space="preserve"> </w:t>
      </w:r>
      <w:r>
        <w:rPr>
          <w:rFonts w:hint="eastAsia" w:ascii="宋体" w:hAnsi="Arial"/>
          <w:sz w:val="24"/>
        </w:rPr>
        <w:t>本工程工资性工程款_</w:t>
      </w:r>
      <w:r>
        <w:rPr>
          <w:rFonts w:ascii="宋体" w:hAnsi="Arial"/>
          <w:sz w:val="24"/>
        </w:rPr>
        <w:t>_____________</w:t>
      </w:r>
      <w:r>
        <w:rPr>
          <w:rFonts w:hint="eastAsia" w:ascii="宋体" w:hAnsi="Arial"/>
          <w:sz w:val="24"/>
        </w:rPr>
        <w:t>元；</w:t>
      </w:r>
    </w:p>
    <w:p>
      <w:pPr>
        <w:spacing w:line="360" w:lineRule="auto"/>
        <w:ind w:firstLine="420"/>
        <w:rPr>
          <w:rFonts w:ascii="宋体" w:hAnsi="Arial"/>
          <w:sz w:val="24"/>
        </w:rPr>
      </w:pPr>
      <w:r>
        <w:rPr>
          <w:rFonts w:hint="eastAsia" w:ascii="宋体" w:hAnsi="Arial"/>
          <w:sz w:val="24"/>
        </w:rPr>
        <w:t>5．发包人在监理人签发开工报告后10日内，将首月工资性工程预付款转入承包人开立的农民工工资专用账户。之后发包人于每月25日前将工资性工程进度款(当月已完工程量的安装工程性工程款的20%，不含设备款)转入农民工工资专用账户。</w:t>
      </w:r>
    </w:p>
    <w:p>
      <w:pPr>
        <w:spacing w:line="360" w:lineRule="auto"/>
        <w:ind w:firstLine="420"/>
        <w:rPr>
          <w:rFonts w:ascii="宋体" w:hAnsi="Arial"/>
          <w:sz w:val="24"/>
        </w:rPr>
      </w:pPr>
      <w:r>
        <w:rPr>
          <w:rFonts w:hint="eastAsia" w:ascii="宋体" w:hAnsi="Arial"/>
          <w:sz w:val="24"/>
        </w:rPr>
        <w:t>6．发包人于每月25日前将工资性工程进度款转入农民工工资专用账户。</w:t>
      </w:r>
    </w:p>
    <w:p>
      <w:pPr>
        <w:spacing w:line="360" w:lineRule="auto"/>
        <w:ind w:firstLine="420"/>
        <w:rPr>
          <w:rFonts w:ascii="宋体" w:hAnsi="Arial"/>
          <w:sz w:val="24"/>
        </w:rPr>
      </w:pPr>
      <w:r>
        <w:rPr>
          <w:rFonts w:hint="eastAsia" w:ascii="宋体" w:hAnsi="Arial"/>
          <w:sz w:val="24"/>
        </w:rPr>
        <w:t>7．承包人每月25日前上报本工程农民工工资清单，每月10日前委托开设农民工工资专用账户的银行支付农民工工资。</w:t>
      </w:r>
    </w:p>
    <w:p>
      <w:pPr>
        <w:spacing w:line="360" w:lineRule="auto"/>
        <w:ind w:firstLine="420"/>
        <w:rPr>
          <w:rFonts w:ascii="宋体" w:hAnsi="Arial"/>
          <w:sz w:val="24"/>
        </w:rPr>
      </w:pPr>
      <w:r>
        <w:rPr>
          <w:rFonts w:hint="eastAsia" w:ascii="宋体" w:hAnsi="Arial"/>
          <w:sz w:val="24"/>
        </w:rPr>
        <w:t>8．工程竣工后，经项目部农民工维权组确认无农民工工资拖欠后，发、承双方办理农民工工资专用账户撤销手续，农民工工资专用账户余额划至本合同约定的承包人账户。</w:t>
      </w:r>
    </w:p>
    <w:p>
      <w:pPr>
        <w:snapToGrid w:val="0"/>
        <w:spacing w:before="93" w:beforeLines="30" w:line="360" w:lineRule="auto"/>
        <w:ind w:firstLine="420"/>
        <w:rPr>
          <w:rFonts w:ascii="宋体" w:hAnsi="Arial"/>
          <w:sz w:val="24"/>
        </w:rPr>
      </w:pPr>
      <w:r>
        <w:rPr>
          <w:rFonts w:hint="eastAsia" w:ascii="宋体" w:hAnsi="Arial"/>
          <w:sz w:val="24"/>
        </w:rPr>
        <w:t>9．工程竣工验收后，承包人在申请支付至合同价60%工程款时，须提供农民工工资结清证明，否则发包人将相关款项支付至农民工工资专户。</w:t>
      </w:r>
    </w:p>
    <w:p>
      <w:pPr>
        <w:snapToGrid w:val="0"/>
        <w:spacing w:before="93" w:beforeLines="30" w:line="360" w:lineRule="auto"/>
        <w:ind w:firstLine="420"/>
        <w:rPr>
          <w:rFonts w:ascii="宋体" w:hAnsi="Arial"/>
          <w:sz w:val="24"/>
        </w:rPr>
      </w:pPr>
      <w:r>
        <w:rPr>
          <w:rFonts w:hint="eastAsia" w:ascii="宋体" w:hAnsi="Arial"/>
          <w:sz w:val="24"/>
        </w:rPr>
        <w:t>10</w:t>
      </w:r>
      <w:r>
        <w:rPr>
          <w:rFonts w:ascii="宋体" w:hAnsi="Arial"/>
          <w:sz w:val="24"/>
        </w:rPr>
        <w:t xml:space="preserve">. </w:t>
      </w:r>
      <w:r>
        <w:rPr>
          <w:rFonts w:hint="eastAsia" w:ascii="宋体" w:hAnsi="Arial"/>
          <w:sz w:val="24"/>
        </w:rPr>
        <w:t>若承包人施工人员全部为其本公司员工，则须提供施工人员进场施工当月前一个月的相关社保证明，并提交发包人备案，则上述2至9条双方无须执行。</w:t>
      </w:r>
    </w:p>
    <w:p>
      <w:pPr>
        <w:numPr>
          <w:ilvl w:val="0"/>
          <w:numId w:val="6"/>
        </w:numPr>
        <w:spacing w:before="156" w:beforeLines="50" w:beforeAutospacing="1" w:after="93" w:afterLines="30" w:afterAutospacing="1" w:line="360" w:lineRule="auto"/>
        <w:rPr>
          <w:rFonts w:ascii="宋体" w:hAnsi="宋体"/>
          <w:sz w:val="24"/>
        </w:rPr>
      </w:pPr>
      <w:r>
        <w:rPr>
          <w:rFonts w:ascii="宋体" w:hAnsi="宋体"/>
          <w:sz w:val="24"/>
        </w:rPr>
        <w:t>验收方法</w:t>
      </w:r>
    </w:p>
    <w:p>
      <w:pPr>
        <w:spacing w:before="156" w:beforeLines="50" w:beforeAutospacing="1" w:after="93" w:afterLines="30" w:afterAutospacing="1" w:line="360" w:lineRule="auto"/>
        <w:rPr>
          <w:rFonts w:ascii="宋体" w:hAnsi="宋体"/>
          <w:sz w:val="24"/>
        </w:rPr>
      </w:pPr>
      <w:r>
        <w:rPr>
          <w:rFonts w:hint="eastAsia" w:ascii="宋体" w:hAnsi="宋体"/>
          <w:sz w:val="24"/>
        </w:rPr>
        <w:t>1.乙方安装调试后，在</w:t>
      </w:r>
      <w:r>
        <w:rPr>
          <w:rFonts w:hint="eastAsia" w:ascii="宋体" w:hAnsi="宋体"/>
          <w:sz w:val="24"/>
          <w:u w:val="single"/>
        </w:rPr>
        <w:t xml:space="preserve">  15   </w:t>
      </w:r>
      <w:r>
        <w:rPr>
          <w:rFonts w:hint="eastAsia" w:ascii="宋体" w:hAnsi="宋体"/>
          <w:sz w:val="24"/>
        </w:rPr>
        <w:t>天内通知甲方组织验收。验收不合格的，乙方应负责重新提供达到本合同约定的质量要求的产品。</w:t>
      </w:r>
    </w:p>
    <w:p>
      <w:pPr>
        <w:pStyle w:val="9"/>
        <w:spacing w:before="100" w:beforeAutospacing="1" w:after="93" w:afterLines="30" w:afterAutospacing="1" w:line="360" w:lineRule="auto"/>
        <w:ind w:left="0" w:leftChars="0"/>
        <w:rPr>
          <w:rFonts w:ascii="宋体" w:hAnsi="Arial"/>
          <w:sz w:val="24"/>
        </w:rPr>
      </w:pPr>
      <w:r>
        <w:rPr>
          <w:rFonts w:hint="eastAsia" w:ascii="宋体" w:hAnsi="Arial"/>
          <w:sz w:val="24"/>
        </w:rPr>
        <w:t>2.甲方验收时，应成立三人以上（由甲、乙双方、甲方资产管理人、技术人员、财务等相关人员组成）验收小组，明确责任，严格依照招标文件、中标（成交）通知书、合同及相关验收规范进行核对、验收，形成验收结论，并出具书面验收报告。</w:t>
      </w:r>
    </w:p>
    <w:p>
      <w:pPr>
        <w:pStyle w:val="9"/>
        <w:spacing w:before="100" w:beforeAutospacing="1" w:after="93" w:afterLines="30" w:afterAutospacing="1" w:line="360" w:lineRule="auto"/>
        <w:ind w:left="0" w:leftChars="0"/>
        <w:rPr>
          <w:rFonts w:ascii="宋体" w:hAnsi="Arial"/>
          <w:sz w:val="24"/>
        </w:rPr>
      </w:pPr>
      <w:r>
        <w:rPr>
          <w:rFonts w:hint="eastAsia" w:ascii="宋体" w:hAnsi="Arial"/>
          <w:sz w:val="24"/>
        </w:rPr>
        <w:t>3.涉及安全、消防、环保等其他需要由质检或行业主管部门进行验收的项目，必须邀请相关部门或相关专家参与验收。</w:t>
      </w:r>
    </w:p>
    <w:p>
      <w:pPr>
        <w:spacing w:before="156" w:beforeLines="50" w:beforeAutospacing="1" w:after="93" w:afterLines="30" w:afterAutospacing="1" w:line="360" w:lineRule="auto"/>
        <w:rPr>
          <w:rFonts w:ascii="宋体" w:hAnsi="宋体"/>
          <w:sz w:val="24"/>
        </w:rPr>
      </w:pPr>
      <w:r>
        <w:rPr>
          <w:rFonts w:hint="eastAsia" w:ascii="宋体" w:hAnsi="宋体"/>
          <w:sz w:val="24"/>
          <w:szCs w:val="27"/>
        </w:rPr>
        <w:t>4.检测、验收费用均由乙方承担。</w:t>
      </w:r>
    </w:p>
    <w:p>
      <w:pPr>
        <w:pStyle w:val="9"/>
        <w:spacing w:before="156" w:beforeAutospacing="1" w:after="93" w:afterLines="30" w:afterAutospacing="1" w:line="360" w:lineRule="auto"/>
        <w:ind w:left="0" w:leftChars="0" w:firstLine="420"/>
        <w:rPr>
          <w:rFonts w:ascii="宋体" w:hAnsi="宋体"/>
          <w:b/>
          <w:bCs/>
          <w:sz w:val="24"/>
        </w:rPr>
      </w:pPr>
      <w:r>
        <w:rPr>
          <w:rFonts w:hint="eastAsia" w:ascii="宋体" w:hAnsi="宋体"/>
          <w:b/>
          <w:bCs/>
          <w:sz w:val="24"/>
        </w:rPr>
        <w:t>甲、乙双方应严格履行合同有关条款，如果验收过程中发现乙方擅自变更合同标的物，将拒绝通过验收，由此引起的一后果及损失由乙方承担。</w:t>
      </w:r>
    </w:p>
    <w:p>
      <w:pPr>
        <w:spacing w:before="156" w:beforeLines="50" w:beforeAutospacing="1" w:after="93" w:afterLines="30" w:afterAutospacing="1" w:line="360" w:lineRule="auto"/>
        <w:rPr>
          <w:rFonts w:ascii="宋体" w:hAnsi="宋体"/>
          <w:sz w:val="24"/>
        </w:rPr>
      </w:pPr>
      <w:r>
        <w:rPr>
          <w:rFonts w:ascii="宋体" w:hAnsi="宋体"/>
          <w:b/>
          <w:bCs/>
          <w:sz w:val="24"/>
        </w:rPr>
        <w:t>第</w:t>
      </w:r>
      <w:r>
        <w:rPr>
          <w:rFonts w:hint="eastAsia" w:ascii="宋体" w:hAnsi="宋体"/>
          <w:b/>
          <w:bCs/>
          <w:sz w:val="24"/>
        </w:rPr>
        <w:t>九</w:t>
      </w:r>
      <w:r>
        <w:rPr>
          <w:rFonts w:ascii="宋体" w:hAnsi="宋体"/>
          <w:b/>
          <w:bCs/>
          <w:sz w:val="24"/>
        </w:rPr>
        <w:t>条 </w:t>
      </w:r>
      <w:r>
        <w:rPr>
          <w:rFonts w:ascii="宋体" w:hAnsi="宋体"/>
          <w:sz w:val="24"/>
        </w:rPr>
        <w:t xml:space="preserve"> 对产品提出异议的时间和办法</w:t>
      </w:r>
    </w:p>
    <w:p>
      <w:pPr>
        <w:spacing w:before="156" w:beforeLines="50" w:beforeAutospacing="1" w:after="93" w:afterLines="30" w:afterAutospacing="1" w:line="360" w:lineRule="auto"/>
        <w:rPr>
          <w:rFonts w:ascii="宋体" w:hAnsi="宋体"/>
          <w:sz w:val="24"/>
        </w:rPr>
      </w:pPr>
      <w:r>
        <w:rPr>
          <w:rFonts w:hint="eastAsia" w:ascii="宋体" w:hAnsi="宋体"/>
          <w:sz w:val="24"/>
        </w:rPr>
        <w:t>1.</w:t>
      </w:r>
      <w:r>
        <w:rPr>
          <w:rFonts w:ascii="宋体" w:hAnsi="宋体"/>
          <w:sz w:val="24"/>
        </w:rPr>
        <w:t>甲方在验收中，如果发现产品不</w:t>
      </w:r>
      <w:r>
        <w:rPr>
          <w:rFonts w:hint="eastAsia" w:ascii="宋体" w:hAnsi="宋体"/>
          <w:sz w:val="24"/>
        </w:rPr>
        <w:t>符合合同约定的</w:t>
      </w:r>
      <w:r>
        <w:rPr>
          <w:rFonts w:ascii="宋体" w:hAnsi="宋体"/>
          <w:sz w:val="24"/>
        </w:rPr>
        <w:t>，应一面妥为保管，一面在</w:t>
      </w:r>
      <w:r>
        <w:rPr>
          <w:rFonts w:ascii="宋体" w:hAnsi="宋体"/>
          <w:sz w:val="24"/>
          <w:u w:val="single"/>
        </w:rPr>
        <w:t xml:space="preserve">  </w:t>
      </w:r>
      <w:r>
        <w:rPr>
          <w:rFonts w:hint="eastAsia" w:ascii="宋体" w:hAnsi="宋体"/>
          <w:sz w:val="24"/>
          <w:u w:val="single"/>
        </w:rPr>
        <w:t>7</w:t>
      </w:r>
      <w:r>
        <w:rPr>
          <w:rFonts w:ascii="宋体" w:hAnsi="宋体"/>
          <w:sz w:val="24"/>
          <w:u w:val="single"/>
        </w:rPr>
        <w:t xml:space="preserve">           </w:t>
      </w:r>
      <w:r>
        <w:rPr>
          <w:rFonts w:hint="eastAsia" w:ascii="宋体" w:hAnsi="宋体"/>
          <w:sz w:val="24"/>
        </w:rPr>
        <w:t>个工作日</w:t>
      </w:r>
      <w:r>
        <w:rPr>
          <w:rFonts w:ascii="宋体" w:hAnsi="宋体"/>
          <w:sz w:val="24"/>
        </w:rPr>
        <w:t>内向乙方</w:t>
      </w:r>
      <w:r>
        <w:rPr>
          <w:rFonts w:hint="eastAsia" w:ascii="宋体" w:hAnsi="宋体"/>
          <w:sz w:val="24"/>
        </w:rPr>
        <w:t>书面</w:t>
      </w:r>
      <w:r>
        <w:rPr>
          <w:rFonts w:ascii="宋体" w:hAnsi="宋体"/>
          <w:sz w:val="24"/>
        </w:rPr>
        <w:t>提出异议。</w:t>
      </w:r>
      <w:r>
        <w:rPr>
          <w:rFonts w:hint="eastAsia" w:ascii="宋体" w:hAnsi="宋体"/>
          <w:sz w:val="24"/>
        </w:rPr>
        <w:t>具体说明产品</w:t>
      </w:r>
      <w:r>
        <w:rPr>
          <w:rFonts w:ascii="宋体" w:hAnsi="宋体"/>
          <w:sz w:val="24"/>
        </w:rPr>
        <w:t>不符合规定的</w:t>
      </w:r>
      <w:r>
        <w:rPr>
          <w:rFonts w:hint="eastAsia" w:ascii="宋体" w:hAnsi="宋体"/>
          <w:sz w:val="24"/>
        </w:rPr>
        <w:t>内容并附相关验收材料，同时</w:t>
      </w:r>
      <w:r>
        <w:rPr>
          <w:rFonts w:ascii="宋体" w:hAnsi="宋体"/>
          <w:sz w:val="24"/>
        </w:rPr>
        <w:t>提出不符合规定产品的处理意见。</w:t>
      </w:r>
    </w:p>
    <w:p>
      <w:pPr>
        <w:spacing w:before="156" w:beforeLines="50" w:beforeAutospacing="1" w:after="93" w:afterLines="30" w:afterAutospacing="1" w:line="360" w:lineRule="auto"/>
        <w:rPr>
          <w:rFonts w:ascii="宋体" w:hAnsi="宋体"/>
          <w:sz w:val="24"/>
        </w:rPr>
      </w:pPr>
      <w:r>
        <w:rPr>
          <w:rFonts w:hint="eastAsia" w:ascii="宋体" w:hAnsi="宋体"/>
          <w:sz w:val="24"/>
        </w:rPr>
        <w:t>2.</w:t>
      </w:r>
      <w:r>
        <w:rPr>
          <w:rFonts w:ascii="宋体" w:hAnsi="宋体"/>
          <w:sz w:val="24"/>
        </w:rPr>
        <w:t>乙方在接到</w:t>
      </w:r>
      <w:r>
        <w:rPr>
          <w:rFonts w:hint="eastAsia" w:ascii="宋体" w:hAnsi="宋体"/>
          <w:sz w:val="24"/>
        </w:rPr>
        <w:t>甲</w:t>
      </w:r>
      <w:r>
        <w:rPr>
          <w:rFonts w:ascii="宋体" w:hAnsi="宋体"/>
          <w:sz w:val="24"/>
        </w:rPr>
        <w:t>方异议后，应在</w:t>
      </w:r>
      <w:r>
        <w:rPr>
          <w:rFonts w:hint="eastAsia" w:ascii="宋体" w:hAnsi="宋体"/>
          <w:sz w:val="24"/>
        </w:rPr>
        <w:t xml:space="preserve"> </w:t>
      </w:r>
      <w:r>
        <w:rPr>
          <w:rFonts w:ascii="宋体" w:hAnsi="宋体"/>
          <w:sz w:val="24"/>
          <w:u w:val="single"/>
        </w:rPr>
        <w:t xml:space="preserve">   </w:t>
      </w:r>
      <w:r>
        <w:rPr>
          <w:rFonts w:hint="eastAsia" w:ascii="宋体" w:hAnsi="宋体"/>
          <w:sz w:val="24"/>
          <w:u w:val="single"/>
        </w:rPr>
        <w:t>7</w:t>
      </w:r>
      <w:r>
        <w:rPr>
          <w:rFonts w:ascii="宋体" w:hAnsi="宋体"/>
          <w:sz w:val="24"/>
          <w:u w:val="single"/>
        </w:rPr>
        <w:t xml:space="preserve">    </w:t>
      </w:r>
      <w:r>
        <w:rPr>
          <w:rFonts w:hint="eastAsia" w:ascii="宋体" w:hAnsi="宋体"/>
          <w:sz w:val="24"/>
        </w:rPr>
        <w:t xml:space="preserve"> 工作日</w:t>
      </w:r>
      <w:r>
        <w:rPr>
          <w:rFonts w:ascii="宋体" w:hAnsi="宋体"/>
          <w:sz w:val="24"/>
        </w:rPr>
        <w:t>内负责处理，否则，即视为默认甲方提出的异议和处理意见。</w:t>
      </w:r>
    </w:p>
    <w:p>
      <w:pPr>
        <w:spacing w:before="156" w:beforeLines="50" w:beforeAutospacing="1" w:after="93" w:afterLines="30" w:afterAutospacing="1" w:line="360" w:lineRule="auto"/>
        <w:rPr>
          <w:rFonts w:ascii="宋体" w:hAnsi="宋体"/>
          <w:sz w:val="24"/>
        </w:rPr>
      </w:pPr>
      <w:r>
        <w:rPr>
          <w:rFonts w:hint="eastAsia" w:ascii="宋体" w:hAnsi="宋体"/>
          <w:b/>
          <w:bCs/>
          <w:sz w:val="24"/>
        </w:rPr>
        <w:t>第十条</w:t>
      </w:r>
      <w:r>
        <w:rPr>
          <w:rFonts w:hint="eastAsia" w:ascii="宋体" w:hAnsi="宋体"/>
          <w:sz w:val="24"/>
        </w:rPr>
        <w:t xml:space="preserve">  乙方应提供完善周到的技术支持和售后服务，否则甲方有权视情节轻重从乙方的履约保证金中扣除部分或全部补偿甲方。</w:t>
      </w:r>
    </w:p>
    <w:p>
      <w:pPr>
        <w:spacing w:before="156" w:beforeLines="50" w:beforeAutospacing="1" w:after="93" w:afterLines="30" w:afterAutospacing="1" w:line="360" w:lineRule="auto"/>
        <w:rPr>
          <w:rFonts w:ascii="宋体" w:hAnsi="宋体"/>
          <w:sz w:val="24"/>
        </w:rPr>
      </w:pPr>
      <w:r>
        <w:rPr>
          <w:rFonts w:hint="eastAsia" w:ascii="宋体" w:hAnsi="宋体"/>
          <w:sz w:val="24"/>
        </w:rPr>
        <w:t>（1）保修</w:t>
      </w:r>
    </w:p>
    <w:p>
      <w:pPr>
        <w:spacing w:before="156" w:beforeLines="50" w:beforeAutospacing="1" w:after="93" w:afterLines="30" w:afterAutospacing="1" w:line="360" w:lineRule="auto"/>
        <w:ind w:firstLine="460" w:firstLineChars="192"/>
        <w:rPr>
          <w:rFonts w:ascii="宋体" w:hAnsi="宋体"/>
          <w:sz w:val="24"/>
        </w:rPr>
      </w:pPr>
      <w:r>
        <w:rPr>
          <w:rFonts w:hint="eastAsia" w:ascii="宋体" w:hAnsi="宋体"/>
          <w:sz w:val="24"/>
        </w:rPr>
        <w:t>乙方对其所提供的货物免费保修</w:t>
      </w:r>
      <w:r>
        <w:rPr>
          <w:rFonts w:hint="eastAsia" w:ascii="宋体" w:hAnsi="宋体"/>
          <w:sz w:val="24"/>
          <w:u w:val="single"/>
        </w:rPr>
        <w:t xml:space="preserve">  贰  </w:t>
      </w:r>
      <w:r>
        <w:rPr>
          <w:rFonts w:hint="eastAsia" w:ascii="宋体" w:hAnsi="宋体"/>
          <w:sz w:val="24"/>
        </w:rPr>
        <w:t>年，保修期从</w:t>
      </w:r>
      <w:r>
        <w:rPr>
          <w:rFonts w:hint="eastAsia" w:ascii="宋体" w:hAnsi="宋体"/>
          <w:sz w:val="24"/>
          <w:u w:val="single"/>
        </w:rPr>
        <w:t xml:space="preserve">  竣工验收合格之日           </w:t>
      </w:r>
      <w:r>
        <w:rPr>
          <w:rFonts w:hint="eastAsia" w:ascii="宋体" w:hAnsi="宋体"/>
          <w:sz w:val="24"/>
        </w:rPr>
        <w:t>开始起算。乙方应在接到报修通知后</w:t>
      </w:r>
      <w:r>
        <w:rPr>
          <w:rFonts w:hint="eastAsia" w:ascii="宋体" w:hAnsi="宋体"/>
          <w:sz w:val="24"/>
          <w:u w:val="single"/>
        </w:rPr>
        <w:t xml:space="preserve">   1   </w:t>
      </w:r>
      <w:r>
        <w:rPr>
          <w:rFonts w:hint="eastAsia" w:ascii="宋体" w:hAnsi="宋体"/>
          <w:sz w:val="24"/>
        </w:rPr>
        <w:t>天内上门维修，负责更换有瑕疵的货物、部件或提供相应的质量保证期内的服务。由此造成的损失，甲方保留索赔的权利。</w:t>
      </w:r>
    </w:p>
    <w:p>
      <w:pPr>
        <w:spacing w:before="156" w:beforeLines="50" w:beforeAutospacing="1" w:after="93" w:afterLines="30" w:afterAutospacing="1" w:line="360" w:lineRule="auto"/>
        <w:ind w:firstLine="460" w:firstLineChars="192"/>
        <w:rPr>
          <w:rFonts w:ascii="宋体" w:hAnsi="宋体"/>
          <w:sz w:val="24"/>
        </w:rPr>
      </w:pPr>
      <w:r>
        <w:rPr>
          <w:rFonts w:hint="eastAsia" w:ascii="宋体" w:hAnsi="宋体"/>
          <w:sz w:val="24"/>
        </w:rPr>
        <w:t>如果乙方在收到报修通知后</w:t>
      </w:r>
      <w:r>
        <w:rPr>
          <w:rFonts w:hint="eastAsia" w:ascii="宋体" w:hAnsi="宋体"/>
          <w:sz w:val="24"/>
          <w:u w:val="single"/>
        </w:rPr>
        <w:t xml:space="preserve">   3   </w:t>
      </w:r>
      <w:r>
        <w:rPr>
          <w:rFonts w:hint="eastAsia" w:ascii="宋体" w:hAnsi="宋体"/>
          <w:sz w:val="24"/>
        </w:rPr>
        <w:t>天内没有弥补缺陷，甲方可采取必要的补救措施，但费用和风险由乙方承担。</w:t>
      </w:r>
    </w:p>
    <w:p>
      <w:pPr>
        <w:spacing w:before="156" w:beforeLines="50" w:beforeAutospacing="1" w:after="93" w:afterLines="30" w:afterAutospacing="1" w:line="360" w:lineRule="auto"/>
        <w:rPr>
          <w:rFonts w:ascii="宋体" w:hAnsi="宋体"/>
          <w:sz w:val="24"/>
        </w:rPr>
      </w:pPr>
      <w:r>
        <w:rPr>
          <w:rFonts w:hint="eastAsia" w:ascii="宋体" w:hAnsi="宋体"/>
          <w:sz w:val="24"/>
        </w:rPr>
        <w:t>（2）维修</w:t>
      </w:r>
    </w:p>
    <w:p>
      <w:pPr>
        <w:pStyle w:val="14"/>
        <w:spacing w:before="156" w:beforeAutospacing="1" w:after="93" w:afterLines="30" w:afterAutospacing="1" w:line="360" w:lineRule="auto"/>
        <w:rPr>
          <w:rFonts w:ascii="宋体" w:hAnsi="宋体"/>
          <w:sz w:val="24"/>
        </w:rPr>
      </w:pPr>
      <w:r>
        <w:rPr>
          <w:rFonts w:hint="eastAsia" w:ascii="宋体" w:hAnsi="宋体"/>
          <w:sz w:val="24"/>
        </w:rPr>
        <w:t>保修期届满后，乙方应对其提供的货物负有维修维保义务，但所涉及的费用由甲方承担。</w:t>
      </w:r>
    </w:p>
    <w:p>
      <w:pPr>
        <w:spacing w:before="156" w:beforeLines="50" w:beforeAutospacing="1" w:after="93" w:afterLines="30" w:afterAutospacing="1" w:line="360" w:lineRule="auto"/>
        <w:rPr>
          <w:rFonts w:ascii="宋体" w:hAnsi="宋体"/>
          <w:sz w:val="24"/>
        </w:rPr>
      </w:pPr>
      <w:r>
        <w:rPr>
          <w:rFonts w:ascii="宋体" w:hAnsi="宋体"/>
          <w:b/>
          <w:bCs/>
          <w:sz w:val="24"/>
        </w:rPr>
        <w:t>第</w:t>
      </w:r>
      <w:r>
        <w:rPr>
          <w:rFonts w:hint="eastAsia" w:ascii="宋体" w:hAnsi="宋体"/>
          <w:b/>
          <w:bCs/>
          <w:sz w:val="24"/>
        </w:rPr>
        <w:t>十一</w:t>
      </w:r>
      <w:r>
        <w:rPr>
          <w:rFonts w:ascii="宋体" w:hAnsi="宋体"/>
          <w:b/>
          <w:bCs/>
          <w:sz w:val="24"/>
        </w:rPr>
        <w:t>条</w:t>
      </w:r>
      <w:r>
        <w:rPr>
          <w:rFonts w:ascii="宋体" w:hAnsi="宋体"/>
          <w:sz w:val="24"/>
        </w:rPr>
        <w:t>  乙方的违约责任</w:t>
      </w:r>
    </w:p>
    <w:p>
      <w:pPr>
        <w:spacing w:before="156" w:beforeLines="50" w:beforeAutospacing="1" w:after="93" w:afterLines="30" w:afterAutospacing="1" w:line="360" w:lineRule="auto"/>
        <w:rPr>
          <w:rFonts w:ascii="宋体" w:hAnsi="宋体"/>
          <w:sz w:val="24"/>
        </w:rPr>
      </w:pPr>
      <w:r>
        <w:rPr>
          <w:rFonts w:ascii="宋体" w:hAnsi="宋体"/>
          <w:sz w:val="24"/>
        </w:rPr>
        <w:t>1.乙方不能交货的，应向甲方偿付不能交货部分货款的</w:t>
      </w:r>
      <w:r>
        <w:rPr>
          <w:rFonts w:ascii="宋体" w:hAnsi="宋体"/>
          <w:sz w:val="24"/>
          <w:u w:val="single"/>
        </w:rPr>
        <w:t> </w:t>
      </w:r>
      <w:r>
        <w:rPr>
          <w:rFonts w:hint="eastAsia" w:ascii="宋体" w:hAnsi="宋体"/>
          <w:sz w:val="24"/>
          <w:u w:val="single"/>
        </w:rPr>
        <w:t>2</w:t>
      </w:r>
      <w:r>
        <w:rPr>
          <w:rFonts w:ascii="宋体" w:hAnsi="宋体"/>
          <w:sz w:val="24"/>
          <w:u w:val="single"/>
        </w:rPr>
        <w:t> %</w:t>
      </w:r>
      <w:r>
        <w:rPr>
          <w:rFonts w:ascii="宋体" w:hAnsi="宋体"/>
          <w:sz w:val="24"/>
        </w:rPr>
        <w:t>的违约金</w:t>
      </w:r>
      <w:r>
        <w:rPr>
          <w:rFonts w:hint="eastAsia" w:ascii="宋体" w:hAnsi="宋体"/>
          <w:sz w:val="24"/>
        </w:rPr>
        <w:t>，，并赔偿因此给甲方造成的全部损失。</w:t>
      </w:r>
    </w:p>
    <w:p>
      <w:pPr>
        <w:spacing w:before="156" w:beforeLines="50" w:beforeAutospacing="1" w:after="93" w:afterLines="30" w:afterAutospacing="1" w:line="360" w:lineRule="auto"/>
        <w:rPr>
          <w:rFonts w:ascii="宋体" w:hAnsi="宋体"/>
          <w:sz w:val="24"/>
        </w:rPr>
      </w:pPr>
      <w:r>
        <w:rPr>
          <w:rFonts w:hint="eastAsia" w:ascii="宋体" w:hAnsi="宋体"/>
          <w:sz w:val="24"/>
        </w:rPr>
        <w:t>2.</w:t>
      </w:r>
      <w:r>
        <w:rPr>
          <w:rFonts w:ascii="宋体" w:hAnsi="宋体"/>
          <w:sz w:val="24"/>
        </w:rPr>
        <w:t>乙方所交产品不符合合同规定的，</w:t>
      </w:r>
      <w:r>
        <w:rPr>
          <w:rFonts w:hint="eastAsia" w:ascii="宋体" w:hAnsi="宋体"/>
          <w:sz w:val="24"/>
        </w:rPr>
        <w:t>应根据产品的具体情况，由乙方负责包换或包修，并承担修理、调换或退货而支付的实际费用</w:t>
      </w:r>
      <w:r>
        <w:rPr>
          <w:rFonts w:ascii="宋体"/>
          <w:sz w:val="24"/>
        </w:rPr>
        <w:t>,</w:t>
      </w:r>
      <w:r>
        <w:rPr>
          <w:rFonts w:hint="eastAsia" w:ascii="宋体" w:hAnsi="宋体"/>
          <w:sz w:val="24"/>
        </w:rPr>
        <w:t>同时，乙方应按规定，对更换件相应延长质量保证期，并赔偿甲方相应的损失。乙方不能修理或者不能调换的，按不能交货处理。</w:t>
      </w:r>
    </w:p>
    <w:p>
      <w:pPr>
        <w:spacing w:before="156" w:beforeLines="50" w:beforeAutospacing="1" w:after="93" w:afterLines="30" w:afterAutospacing="1" w:line="360" w:lineRule="auto"/>
        <w:rPr>
          <w:rFonts w:ascii="宋体" w:hAnsi="宋体"/>
          <w:sz w:val="24"/>
        </w:rPr>
      </w:pPr>
      <w:r>
        <w:rPr>
          <w:rFonts w:hint="eastAsia" w:ascii="宋体" w:hAnsi="宋体"/>
          <w:sz w:val="24"/>
        </w:rPr>
        <w:t>3.</w:t>
      </w:r>
      <w:r>
        <w:rPr>
          <w:rFonts w:ascii="宋体" w:hAnsi="宋体"/>
          <w:sz w:val="24"/>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ascii="宋体" w:hAnsi="宋体"/>
          <w:sz w:val="24"/>
        </w:rPr>
        <w:t>每件货物包装箱内应附一份详细装箱单和质量证书。为进口件的，应出具报关手续和原产地、原产工厂证明、报关手续和商检证明等。</w:t>
      </w:r>
    </w:p>
    <w:p>
      <w:pPr>
        <w:spacing w:before="100" w:beforeAutospacing="1" w:after="100" w:afterAutospacing="1" w:line="360" w:lineRule="auto"/>
        <w:rPr>
          <w:rFonts w:ascii="宋体" w:hAnsi="宋体"/>
          <w:sz w:val="24"/>
        </w:rPr>
      </w:pPr>
      <w:r>
        <w:rPr>
          <w:rFonts w:hint="eastAsia" w:ascii="宋体" w:hAnsi="宋体"/>
          <w:sz w:val="24"/>
        </w:rPr>
        <w:t>4.如果乙方没有按照规定的时间交货、完成设备安装和提供服务，甲方将对其课以违约金，违约金应从货款中扣除，违约金应按每周迟交货物或未提供服务价格的</w:t>
      </w:r>
      <w:r>
        <w:rPr>
          <w:rFonts w:ascii="宋体" w:hAnsi="宋体"/>
          <w:sz w:val="24"/>
        </w:rPr>
        <w:t>0.5%</w:t>
      </w:r>
      <w:r>
        <w:rPr>
          <w:rFonts w:hint="eastAsia" w:ascii="宋体" w:hAnsi="宋体"/>
          <w:sz w:val="24"/>
        </w:rPr>
        <w:t>计收。但违约金的最高限额为迟交货物或提供服务合同价的5%。一周按7天计算，不足7天按一周计算。如果达到最高限额，甲方有权考虑终止合同，由此给甲方造成的损失由乙方承担</w:t>
      </w:r>
      <w:r>
        <w:rPr>
          <w:rFonts w:ascii="宋体" w:hAnsi="宋体"/>
          <w:sz w:val="24"/>
        </w:rPr>
        <w:t>。</w:t>
      </w:r>
    </w:p>
    <w:p>
      <w:pPr>
        <w:spacing w:before="156" w:beforeLines="50" w:beforeAutospacing="1" w:after="93" w:afterLines="30" w:afterAutospacing="1" w:line="360" w:lineRule="auto"/>
        <w:rPr>
          <w:rFonts w:ascii="宋体" w:hAnsi="宋体"/>
          <w:sz w:val="24"/>
        </w:rPr>
      </w:pPr>
      <w:r>
        <w:rPr>
          <w:rFonts w:hint="eastAsia" w:ascii="宋体" w:hAnsi="宋体"/>
          <w:sz w:val="24"/>
        </w:rPr>
        <w:t>5.</w:t>
      </w:r>
      <w:r>
        <w:rPr>
          <w:rFonts w:ascii="宋体" w:hAnsi="宋体"/>
          <w:sz w:val="24"/>
        </w:rPr>
        <w:t>乙方提前交货的产品、多交的产品和不符合合同规定的产品，甲方在代保管期内实际支付的保管、保养等费用以及非因甲方保管不善而发生的损失，应当由乙方承担。</w:t>
      </w:r>
    </w:p>
    <w:p>
      <w:pPr>
        <w:spacing w:before="156" w:beforeLines="50" w:beforeAutospacing="1" w:after="93" w:afterLines="30" w:afterAutospacing="1" w:line="360" w:lineRule="auto"/>
        <w:rPr>
          <w:rFonts w:ascii="宋体" w:hAnsi="宋体"/>
          <w:sz w:val="24"/>
        </w:rPr>
      </w:pPr>
      <w:r>
        <w:rPr>
          <w:rFonts w:hint="eastAsia" w:ascii="宋体" w:hAnsi="宋体"/>
          <w:sz w:val="24"/>
        </w:rPr>
        <w:t>6.乙方应对其所提供的货物承担所有权担保责任，并应保证甲方在中华人民共和国内使用该货物时不侵犯第三人的知识产权。否则乙方应承担由此引起的一切法律责任及费用。</w:t>
      </w:r>
    </w:p>
    <w:p>
      <w:pPr>
        <w:spacing w:before="156" w:beforeLines="50" w:beforeAutospacing="1" w:after="93" w:afterLines="30" w:afterAutospacing="1" w:line="360" w:lineRule="auto"/>
        <w:rPr>
          <w:rFonts w:ascii="宋体" w:hAnsi="宋体"/>
          <w:sz w:val="24"/>
        </w:rPr>
      </w:pPr>
      <w:r>
        <w:rPr>
          <w:rFonts w:hint="eastAsia" w:ascii="宋体" w:hAnsi="宋体"/>
          <w:sz w:val="24"/>
        </w:rPr>
        <w:t>7.任何一方未经对方同意而单方面终止合同的，应向对方赔偿相当于本合同总价款</w:t>
      </w:r>
      <w:r>
        <w:rPr>
          <w:rFonts w:hint="eastAsia" w:ascii="宋体" w:hAnsi="宋体"/>
          <w:sz w:val="24"/>
          <w:u w:val="single"/>
        </w:rPr>
        <w:t xml:space="preserve">   5   %</w:t>
      </w:r>
      <w:r>
        <w:rPr>
          <w:rFonts w:hint="eastAsia" w:ascii="宋体" w:hAnsi="宋体"/>
          <w:sz w:val="24"/>
        </w:rPr>
        <w:t>违约金。</w:t>
      </w:r>
    </w:p>
    <w:p>
      <w:pPr>
        <w:spacing w:before="156" w:beforeLines="50" w:beforeAutospacing="1" w:after="93" w:afterLines="30" w:afterAutospacing="1" w:line="360" w:lineRule="auto"/>
        <w:rPr>
          <w:rFonts w:ascii="宋体" w:hAnsi="宋体"/>
          <w:sz w:val="24"/>
        </w:rPr>
      </w:pPr>
      <w:r>
        <w:rPr>
          <w:rFonts w:ascii="宋体" w:hAnsi="宋体"/>
          <w:b/>
          <w:bCs/>
          <w:sz w:val="24"/>
        </w:rPr>
        <w:t>第十</w:t>
      </w:r>
      <w:r>
        <w:rPr>
          <w:rFonts w:hint="eastAsia" w:ascii="宋体" w:hAnsi="宋体"/>
          <w:b/>
          <w:bCs/>
          <w:sz w:val="24"/>
        </w:rPr>
        <w:t>二</w:t>
      </w:r>
      <w:r>
        <w:rPr>
          <w:rFonts w:ascii="宋体" w:hAnsi="宋体"/>
          <w:b/>
          <w:bCs/>
          <w:sz w:val="24"/>
        </w:rPr>
        <w:t>条</w:t>
      </w:r>
      <w:r>
        <w:rPr>
          <w:rFonts w:ascii="宋体" w:hAnsi="宋体"/>
          <w:sz w:val="24"/>
        </w:rPr>
        <w:t>  甲方的违约责任</w:t>
      </w:r>
    </w:p>
    <w:p>
      <w:pPr>
        <w:spacing w:before="156" w:beforeLines="50" w:beforeAutospacing="1" w:after="93" w:afterLines="30" w:afterAutospacing="1" w:line="360" w:lineRule="auto"/>
        <w:rPr>
          <w:rFonts w:ascii="宋体" w:hAnsi="宋体"/>
          <w:sz w:val="24"/>
        </w:rPr>
      </w:pPr>
      <w:r>
        <w:rPr>
          <w:rFonts w:hint="eastAsia" w:ascii="宋体" w:hAnsi="宋体"/>
          <w:sz w:val="24"/>
        </w:rPr>
        <w:t>1.</w:t>
      </w:r>
      <w:r>
        <w:rPr>
          <w:rFonts w:ascii="宋体" w:hAnsi="宋体"/>
          <w:sz w:val="24"/>
        </w:rPr>
        <w:t>甲方中途退货，应向乙方偿付退货部分货款</w:t>
      </w:r>
      <w:r>
        <w:rPr>
          <w:rFonts w:hint="eastAsia" w:ascii="宋体" w:hAnsi="宋体"/>
          <w:sz w:val="24"/>
          <w:u w:val="single"/>
        </w:rPr>
        <w:t xml:space="preserve"> 2 % </w:t>
      </w:r>
      <w:r>
        <w:rPr>
          <w:rFonts w:hint="eastAsia" w:ascii="宋体" w:hAnsi="宋体"/>
          <w:sz w:val="24"/>
        </w:rPr>
        <w:t xml:space="preserve"> </w:t>
      </w:r>
      <w:r>
        <w:rPr>
          <w:rFonts w:ascii="宋体" w:hAnsi="宋体"/>
          <w:sz w:val="24"/>
        </w:rPr>
        <w:t>的违约金。</w:t>
      </w:r>
    </w:p>
    <w:p>
      <w:pPr>
        <w:spacing w:before="156" w:beforeLines="50" w:beforeAutospacing="1" w:after="93" w:afterLines="30" w:afterAutospacing="1" w:line="360" w:lineRule="auto"/>
        <w:rPr>
          <w:rFonts w:ascii="宋体" w:hAnsi="宋体"/>
          <w:sz w:val="24"/>
        </w:rPr>
      </w:pPr>
      <w:r>
        <w:rPr>
          <w:rFonts w:hint="eastAsia" w:ascii="宋体" w:hAnsi="宋体"/>
          <w:sz w:val="24"/>
        </w:rPr>
        <w:t>2..</w:t>
      </w:r>
      <w:r>
        <w:rPr>
          <w:rFonts w:ascii="宋体" w:hAnsi="宋体"/>
          <w:sz w:val="24"/>
        </w:rPr>
        <w:t>甲方违反合同规定拒绝接货的，应当承担由此造成的损失。</w:t>
      </w:r>
    </w:p>
    <w:p>
      <w:pPr>
        <w:spacing w:before="156" w:beforeLines="50" w:beforeAutospacing="1" w:after="93" w:afterLines="30" w:afterAutospacing="1" w:line="360" w:lineRule="auto"/>
        <w:rPr>
          <w:rFonts w:ascii="宋体" w:hAnsi="宋体"/>
          <w:b/>
          <w:sz w:val="24"/>
        </w:rPr>
      </w:pPr>
      <w:r>
        <w:rPr>
          <w:rFonts w:ascii="宋体" w:hAnsi="宋体"/>
          <w:b/>
          <w:bCs/>
          <w:sz w:val="24"/>
        </w:rPr>
        <w:t>第十</w:t>
      </w:r>
      <w:r>
        <w:rPr>
          <w:rFonts w:hint="eastAsia" w:ascii="宋体" w:hAnsi="宋体"/>
          <w:b/>
          <w:bCs/>
          <w:sz w:val="24"/>
        </w:rPr>
        <w:t>三</w:t>
      </w:r>
      <w:r>
        <w:rPr>
          <w:rFonts w:ascii="宋体" w:hAnsi="宋体"/>
          <w:b/>
          <w:bCs/>
          <w:sz w:val="24"/>
        </w:rPr>
        <w:t>条 </w:t>
      </w:r>
      <w:r>
        <w:rPr>
          <w:rFonts w:ascii="宋体" w:hAnsi="宋体"/>
          <w:sz w:val="24"/>
        </w:rPr>
        <w:t xml:space="preserve"> 不可抗力</w:t>
      </w:r>
    </w:p>
    <w:p>
      <w:pPr>
        <w:spacing w:before="100" w:beforeAutospacing="1" w:after="100" w:afterAutospacing="1" w:line="360" w:lineRule="auto"/>
        <w:ind w:firstLine="549"/>
        <w:rPr>
          <w:rFonts w:ascii="宋体" w:hAnsi="宋体"/>
          <w:sz w:val="24"/>
        </w:rPr>
      </w:pPr>
      <w:r>
        <w:rPr>
          <w:rFonts w:hint="eastAsia" w:ascii="宋体" w:hAnsi="宋体"/>
          <w:sz w:val="24"/>
        </w:rPr>
        <w:t>⑴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before="100" w:beforeAutospacing="1" w:after="100" w:afterAutospacing="1" w:line="360" w:lineRule="auto"/>
        <w:ind w:firstLine="549"/>
        <w:rPr>
          <w:rFonts w:ascii="宋体" w:hAnsi="宋体"/>
          <w:sz w:val="24"/>
        </w:rPr>
      </w:pPr>
      <w:r>
        <w:rPr>
          <w:rFonts w:hint="eastAsia" w:ascii="宋体" w:hAnsi="宋体"/>
          <w:sz w:val="24"/>
        </w:rPr>
        <w:t>⑵</w:t>
      </w:r>
      <w:r>
        <w:rPr>
          <w:rFonts w:ascii="宋体" w:hAnsi="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before="100" w:beforeAutospacing="1" w:after="100" w:afterAutospacing="1" w:line="360" w:lineRule="auto"/>
        <w:rPr>
          <w:rFonts w:ascii="宋体" w:hAnsi="宋体"/>
          <w:b/>
          <w:bCs/>
          <w:sz w:val="24"/>
        </w:rPr>
      </w:pPr>
      <w:r>
        <w:rPr>
          <w:rFonts w:ascii="宋体" w:hAnsi="宋体"/>
          <w:b/>
          <w:bCs/>
          <w:sz w:val="24"/>
        </w:rPr>
        <w:t>第十</w:t>
      </w:r>
      <w:r>
        <w:rPr>
          <w:rFonts w:hint="eastAsia" w:ascii="宋体" w:hAnsi="宋体"/>
          <w:b/>
          <w:bCs/>
          <w:sz w:val="24"/>
        </w:rPr>
        <w:t>四</w:t>
      </w:r>
      <w:r>
        <w:rPr>
          <w:rFonts w:ascii="宋体" w:hAnsi="宋体"/>
          <w:b/>
          <w:bCs/>
          <w:sz w:val="24"/>
        </w:rPr>
        <w:t>条</w:t>
      </w:r>
      <w:r>
        <w:rPr>
          <w:rFonts w:hint="eastAsia" w:ascii="宋体" w:hAnsi="宋体"/>
          <w:b/>
          <w:bCs/>
          <w:sz w:val="24"/>
        </w:rPr>
        <w:t xml:space="preserve">  </w:t>
      </w:r>
      <w:r>
        <w:rPr>
          <w:rFonts w:hint="eastAsia" w:ascii="宋体" w:hAnsi="宋体"/>
          <w:sz w:val="24"/>
        </w:rPr>
        <w:t>履约保证金</w:t>
      </w:r>
    </w:p>
    <w:p>
      <w:pPr>
        <w:spacing w:before="100" w:beforeAutospacing="1" w:after="100" w:afterAutospacing="1" w:line="360" w:lineRule="auto"/>
        <w:rPr>
          <w:rFonts w:ascii="宋体" w:hAnsi="宋体"/>
          <w:sz w:val="24"/>
        </w:rPr>
      </w:pPr>
      <w:r>
        <w:rPr>
          <w:rFonts w:hint="eastAsia" w:ascii="宋体" w:hAnsi="宋体"/>
          <w:sz w:val="24"/>
        </w:rPr>
        <w:t>（1）本项目履约保证金为</w:t>
      </w:r>
      <w:r>
        <w:rPr>
          <w:rFonts w:hint="eastAsia" w:ascii="宋体" w:hAnsi="宋体"/>
          <w:sz w:val="24"/>
          <w:u w:val="single"/>
        </w:rPr>
        <w:t xml:space="preserve">           </w:t>
      </w:r>
      <w:r>
        <w:rPr>
          <w:rFonts w:hint="eastAsia" w:ascii="宋体" w:hAnsi="宋体"/>
          <w:sz w:val="24"/>
        </w:rPr>
        <w:t>(人民币),期限</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p>
    <w:p>
      <w:pPr>
        <w:spacing w:before="100" w:beforeAutospacing="1" w:after="100" w:afterAutospacing="1" w:line="360" w:lineRule="auto"/>
        <w:rPr>
          <w:rFonts w:ascii="宋体" w:hAnsi="宋体"/>
          <w:sz w:val="24"/>
        </w:rPr>
      </w:pPr>
      <w:r>
        <w:rPr>
          <w:rFonts w:hint="eastAsia" w:ascii="宋体" w:hAnsi="宋体"/>
          <w:sz w:val="24"/>
        </w:rPr>
        <w:t>（2）乙方提供的履约保证金按规定格式以银行保函形式提供的，与此有关的费用由乙方承担。</w:t>
      </w:r>
    </w:p>
    <w:p>
      <w:pPr>
        <w:numPr>
          <w:ilvl w:val="0"/>
          <w:numId w:val="8"/>
        </w:numPr>
        <w:spacing w:before="100" w:beforeAutospacing="1" w:after="100" w:afterAutospacing="1" w:line="360" w:lineRule="auto"/>
        <w:rPr>
          <w:rFonts w:ascii="宋体" w:hAnsi="宋体"/>
          <w:sz w:val="24"/>
        </w:rPr>
      </w:pPr>
      <w:r>
        <w:rPr>
          <w:rFonts w:hint="eastAsia" w:ascii="宋体" w:hAnsi="宋体"/>
          <w:sz w:val="24"/>
        </w:rPr>
        <w:t>乙方未能履行其合同规定的任何义务，甲方有权从履约保证金中取得补偿。</w:t>
      </w:r>
    </w:p>
    <w:p>
      <w:pPr>
        <w:spacing w:before="100" w:beforeAutospacing="1" w:after="100" w:afterAutospacing="1" w:line="360" w:lineRule="auto"/>
        <w:rPr>
          <w:rFonts w:ascii="宋体" w:hAnsi="宋体"/>
          <w:b/>
          <w:sz w:val="24"/>
        </w:rPr>
      </w:pPr>
      <w:r>
        <w:rPr>
          <w:rFonts w:ascii="宋体" w:hAnsi="宋体"/>
          <w:b/>
          <w:bCs/>
          <w:sz w:val="24"/>
        </w:rPr>
        <w:t>第十</w:t>
      </w:r>
      <w:r>
        <w:rPr>
          <w:rFonts w:hint="eastAsia" w:ascii="宋体" w:hAnsi="宋体"/>
          <w:b/>
          <w:bCs/>
          <w:sz w:val="24"/>
        </w:rPr>
        <w:t>五</w:t>
      </w:r>
      <w:r>
        <w:rPr>
          <w:rFonts w:ascii="宋体" w:hAnsi="宋体"/>
          <w:b/>
          <w:bCs/>
          <w:sz w:val="24"/>
        </w:rPr>
        <w:t>条</w:t>
      </w:r>
      <w:r>
        <w:rPr>
          <w:rFonts w:hint="eastAsia" w:ascii="宋体" w:hAnsi="宋体"/>
          <w:b/>
          <w:bCs/>
          <w:sz w:val="24"/>
        </w:rPr>
        <w:t xml:space="preserve"> </w:t>
      </w:r>
      <w:r>
        <w:rPr>
          <w:rFonts w:hint="eastAsia" w:ascii="宋体" w:hAnsi="宋体"/>
          <w:bCs/>
          <w:sz w:val="24"/>
        </w:rPr>
        <w:t>转让与分包</w:t>
      </w:r>
    </w:p>
    <w:p>
      <w:pPr>
        <w:spacing w:before="100" w:beforeAutospacing="1" w:after="100" w:afterAutospacing="1" w:line="360" w:lineRule="auto"/>
        <w:rPr>
          <w:rFonts w:ascii="宋体" w:hAnsi="宋体"/>
          <w:sz w:val="24"/>
        </w:rPr>
      </w:pPr>
      <w:r>
        <w:rPr>
          <w:rFonts w:hint="eastAsia" w:ascii="宋体" w:hAnsi="宋体"/>
          <w:sz w:val="24"/>
        </w:rPr>
        <w:t>（1）除甲方事先书面同意外，乙方不得部分转让或全部转让其应履行的合同义务。</w:t>
      </w:r>
    </w:p>
    <w:p>
      <w:pPr>
        <w:spacing w:before="100" w:beforeAutospacing="1" w:after="100" w:afterAutospacing="1" w:line="360" w:lineRule="auto"/>
        <w:rPr>
          <w:rFonts w:ascii="宋体" w:hAnsi="宋体"/>
          <w:sz w:val="24"/>
        </w:rPr>
      </w:pPr>
      <w:r>
        <w:rPr>
          <w:rFonts w:hint="eastAsia" w:ascii="宋体" w:hAnsi="宋体"/>
          <w:sz w:val="24"/>
        </w:rPr>
        <w:t>（2）乙方应在投标文件中或以其他书面形式对甲方确认本合同项下所授予的所有分包合同。但该确认不解除乙方承担的本合同下的任何责任或义务。意即在本合同项下，乙方对甲方负总责。</w:t>
      </w:r>
    </w:p>
    <w:p>
      <w:pPr>
        <w:spacing w:before="100" w:beforeAutospacing="1" w:after="100" w:afterAutospacing="1" w:line="360" w:lineRule="auto"/>
        <w:rPr>
          <w:rFonts w:ascii="宋体" w:hAnsi="宋体"/>
          <w:bCs/>
          <w:sz w:val="24"/>
        </w:rPr>
      </w:pPr>
      <w:r>
        <w:rPr>
          <w:rFonts w:ascii="宋体" w:hAnsi="宋体"/>
          <w:b/>
          <w:bCs/>
          <w:sz w:val="24"/>
        </w:rPr>
        <w:t>第十</w:t>
      </w:r>
      <w:r>
        <w:rPr>
          <w:rFonts w:hint="eastAsia" w:ascii="宋体" w:hAnsi="宋体"/>
          <w:b/>
          <w:bCs/>
          <w:sz w:val="24"/>
        </w:rPr>
        <w:t>六</w:t>
      </w:r>
      <w:r>
        <w:rPr>
          <w:rFonts w:ascii="宋体" w:hAnsi="宋体"/>
          <w:b/>
          <w:bCs/>
          <w:sz w:val="24"/>
        </w:rPr>
        <w:t>条</w:t>
      </w:r>
      <w:r>
        <w:rPr>
          <w:rFonts w:hint="eastAsia" w:ascii="宋体" w:hAnsi="宋体"/>
          <w:b/>
          <w:bCs/>
          <w:sz w:val="24"/>
        </w:rPr>
        <w:t xml:space="preserve"> </w:t>
      </w:r>
      <w:r>
        <w:rPr>
          <w:rFonts w:hint="eastAsia" w:ascii="宋体" w:hAnsi="宋体"/>
          <w:bCs/>
          <w:sz w:val="24"/>
        </w:rPr>
        <w:t>合同文件及资料的使用</w:t>
      </w:r>
    </w:p>
    <w:p>
      <w:pPr>
        <w:spacing w:before="100" w:beforeAutospacing="1" w:after="100" w:afterAutospacing="1" w:line="360" w:lineRule="auto"/>
        <w:ind w:firstLine="420"/>
        <w:rPr>
          <w:rFonts w:ascii="宋体" w:hAnsi="宋体"/>
          <w:sz w:val="24"/>
        </w:rPr>
      </w:pPr>
      <w:r>
        <w:rPr>
          <w:rFonts w:hint="eastAsia" w:ascii="宋体" w:hAnsi="宋体"/>
          <w:sz w:val="24"/>
        </w:rPr>
        <w:t>1</w:t>
      </w:r>
      <w:r>
        <w:rPr>
          <w:rFonts w:hint="eastAsia" w:ascii="宋体" w:hAnsi="宋体"/>
          <w:sz w:val="24"/>
          <w:szCs w:val="27"/>
        </w:rPr>
        <w:t>.</w:t>
      </w:r>
      <w:r>
        <w:rPr>
          <w:rFonts w:hint="eastAsia" w:ascii="宋体" w:hAnsi="宋体"/>
          <w:sz w:val="24"/>
        </w:rPr>
        <w:t>乙方在未经甲方书面同意的情况下，不得将合同、合同中的规定、有关计划、图纸、样本或甲方为上述内容向乙方提供的资料透露给任何人。</w:t>
      </w:r>
    </w:p>
    <w:p>
      <w:pPr>
        <w:kinsoku w:val="0"/>
        <w:overflowPunct w:val="0"/>
        <w:spacing w:line="360" w:lineRule="auto"/>
        <w:ind w:left="8" w:right="137" w:firstLine="412"/>
        <w:rPr>
          <w:rFonts w:ascii="宋体" w:hAnsi="宋体"/>
          <w:sz w:val="24"/>
        </w:rPr>
      </w:pPr>
      <w:r>
        <w:rPr>
          <w:rFonts w:hint="eastAsia" w:ascii="宋体" w:hAnsi="宋体"/>
          <w:sz w:val="24"/>
        </w:rPr>
        <w:t>2</w:t>
      </w:r>
      <w:r>
        <w:rPr>
          <w:rFonts w:hint="eastAsia" w:ascii="宋体" w:hAnsi="宋体"/>
          <w:sz w:val="24"/>
          <w:szCs w:val="27"/>
        </w:rPr>
        <w:t>.</w:t>
      </w:r>
      <w:r>
        <w:rPr>
          <w:rFonts w:hint="eastAsia" w:ascii="宋体" w:hAnsi="宋体"/>
          <w:sz w:val="24"/>
        </w:rPr>
        <w:t>除非执行合同需要，在事先未得到甲方同意的情况下，乙方不得使用前款所列的任何文件和资料。</w:t>
      </w:r>
    </w:p>
    <w:p>
      <w:pPr>
        <w:kinsoku w:val="0"/>
        <w:overflowPunct w:val="0"/>
        <w:spacing w:line="360" w:lineRule="auto"/>
        <w:ind w:left="8" w:right="137" w:firstLine="412"/>
        <w:rPr>
          <w:rFonts w:ascii="宋体" w:hAnsi="Arial"/>
          <w:sz w:val="24"/>
        </w:rPr>
      </w:pPr>
    </w:p>
    <w:p>
      <w:pPr>
        <w:kinsoku w:val="0"/>
        <w:overflowPunct w:val="0"/>
        <w:spacing w:line="360" w:lineRule="auto"/>
        <w:rPr>
          <w:rFonts w:ascii="宋体" w:hAnsi="Arial"/>
          <w:b/>
          <w:bCs/>
          <w:spacing w:val="2"/>
          <w:sz w:val="24"/>
        </w:rPr>
      </w:pPr>
      <w:bookmarkStart w:id="26" w:name="_Toc292559903"/>
      <w:bookmarkStart w:id="27" w:name="_Toc300934989"/>
      <w:bookmarkStart w:id="28" w:name="_Toc297048379"/>
      <w:bookmarkStart w:id="29" w:name="_Toc296891021"/>
      <w:bookmarkStart w:id="30" w:name="_Toc297120493"/>
      <w:bookmarkStart w:id="31" w:name="_Toc292559398"/>
      <w:bookmarkStart w:id="32" w:name="_Toc297216199"/>
      <w:bookmarkStart w:id="33" w:name="_Toc296346694"/>
      <w:bookmarkStart w:id="34" w:name="_Toc296944532"/>
      <w:bookmarkStart w:id="35" w:name="_Toc296347192"/>
      <w:bookmarkStart w:id="36" w:name="_Toc296891233"/>
      <w:bookmarkStart w:id="37" w:name="_Toc304295566"/>
      <w:bookmarkStart w:id="38" w:name="_Toc296503193"/>
      <w:bookmarkStart w:id="39" w:name="_Toc303539146"/>
      <w:bookmarkStart w:id="40" w:name="_Toc351203642"/>
      <w:bookmarkStart w:id="41" w:name="_Toc297123540"/>
      <w:bookmarkStart w:id="42" w:name="_Toc312678025"/>
      <w:bookmarkStart w:id="43" w:name="_Toc312677499"/>
      <w:r>
        <w:rPr>
          <w:rFonts w:hint="eastAsia" w:ascii="宋体" w:hAnsi="Arial"/>
          <w:b/>
          <w:bCs/>
          <w:spacing w:val="2"/>
          <w:sz w:val="24"/>
        </w:rPr>
        <w:t xml:space="preserve">第十七条 </w:t>
      </w:r>
      <w:r>
        <w:rPr>
          <w:rFonts w:ascii="宋体" w:hAnsi="Arial"/>
          <w:b/>
          <w:bCs/>
          <w:spacing w:val="2"/>
          <w:sz w:val="24"/>
        </w:rPr>
        <w:t xml:space="preserve"> </w:t>
      </w:r>
      <w:r>
        <w:rPr>
          <w:rFonts w:ascii="宋体" w:hAnsi="Arial"/>
          <w:bCs/>
          <w:spacing w:val="2"/>
          <w:sz w:val="24"/>
        </w:rPr>
        <w:t>变更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bookmarkEnd w:id="42"/>
    <w:bookmarkEnd w:id="43"/>
    <w:p>
      <w:pPr>
        <w:snapToGrid w:val="0"/>
        <w:spacing w:before="93" w:beforeLines="30" w:line="360" w:lineRule="auto"/>
        <w:ind w:firstLine="480" w:firstLineChars="200"/>
        <w:rPr>
          <w:rFonts w:ascii="宋体" w:hAnsi="宋体"/>
          <w:color w:val="000000"/>
          <w:sz w:val="24"/>
        </w:rPr>
      </w:pPr>
      <w:r>
        <w:rPr>
          <w:rFonts w:hint="eastAsia" w:ascii="宋体" w:hAnsi="宋体"/>
          <w:color w:val="000000"/>
          <w:sz w:val="24"/>
        </w:rPr>
        <w:t>1.变更的范围</w:t>
      </w:r>
    </w:p>
    <w:p>
      <w:pPr>
        <w:snapToGrid w:val="0"/>
        <w:spacing w:before="93" w:beforeLines="30" w:line="360" w:lineRule="auto"/>
        <w:ind w:firstLine="480" w:firstLineChars="200"/>
        <w:rPr>
          <w:rFonts w:ascii="宋体" w:hAnsi="宋体"/>
          <w:color w:val="000000"/>
          <w:sz w:val="24"/>
        </w:rPr>
      </w:pPr>
      <w:r>
        <w:rPr>
          <w:rFonts w:hint="eastAsia" w:ascii="宋体" w:hAnsi="宋体"/>
          <w:color w:val="000000"/>
          <w:sz w:val="24"/>
        </w:rPr>
        <w:t>关于变更的范围的约定：招标施工图纸和工程量清单以外部分（招标施工图纸与工程量清单不符，以二者中标准较高的为准）。</w:t>
      </w:r>
    </w:p>
    <w:p>
      <w:pPr>
        <w:snapToGrid w:val="0"/>
        <w:spacing w:before="93" w:beforeLines="30"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 变更估价</w:t>
      </w:r>
    </w:p>
    <w:p>
      <w:pPr>
        <w:snapToGrid w:val="0"/>
        <w:spacing w:before="93" w:beforeLines="30" w:line="360" w:lineRule="auto"/>
        <w:ind w:firstLine="480" w:firstLineChars="200"/>
        <w:rPr>
          <w:rFonts w:ascii="宋体" w:hAnsi="宋体"/>
          <w:sz w:val="24"/>
        </w:rPr>
      </w:pPr>
      <w:r>
        <w:rPr>
          <w:rFonts w:hint="eastAsia" w:ascii="宋体" w:hAnsi="宋体"/>
          <w:sz w:val="24"/>
        </w:rPr>
        <w:t>2.1 变更估价原则</w:t>
      </w:r>
    </w:p>
    <w:p>
      <w:pPr>
        <w:snapToGrid w:val="0"/>
        <w:spacing w:before="93" w:beforeLines="30" w:line="360" w:lineRule="auto"/>
        <w:ind w:firstLine="480" w:firstLineChars="200"/>
        <w:rPr>
          <w:rFonts w:ascii="宋体" w:hAnsi="宋体"/>
          <w:color w:val="000000"/>
          <w:sz w:val="24"/>
        </w:rPr>
      </w:pPr>
      <w:r>
        <w:rPr>
          <w:rFonts w:ascii="宋体" w:hAnsi="宋体"/>
          <w:color w:val="000000"/>
          <w:sz w:val="24"/>
        </w:rPr>
        <w:t xml:space="preserve">关于变更估价的约定: </w:t>
      </w:r>
    </w:p>
    <w:p>
      <w:pPr>
        <w:snapToGrid w:val="0"/>
        <w:spacing w:before="93" w:beforeLines="30" w:line="360" w:lineRule="auto"/>
        <w:ind w:firstLine="480" w:firstLineChars="200"/>
        <w:rPr>
          <w:rFonts w:ascii="宋体" w:hAnsi="宋体"/>
          <w:color w:val="000000"/>
          <w:sz w:val="24"/>
        </w:rPr>
      </w:pPr>
      <w:r>
        <w:rPr>
          <w:rFonts w:hint="eastAsia" w:ascii="宋体" w:hAnsi="宋体"/>
          <w:color w:val="000000"/>
          <w:sz w:val="24"/>
        </w:rPr>
        <w:t xml:space="preserve">2.1.1 因工程变更引起已标价工程量清单项目或其工程数量发生变化时，按下列规定调整： </w:t>
      </w:r>
    </w:p>
    <w:p>
      <w:pPr>
        <w:snapToGrid w:val="0"/>
        <w:spacing w:before="93" w:beforeLines="30" w:line="360" w:lineRule="auto"/>
        <w:ind w:firstLine="480" w:firstLineChars="200"/>
        <w:rPr>
          <w:rFonts w:ascii="宋体" w:hAnsi="宋体"/>
          <w:color w:val="000000"/>
          <w:sz w:val="24"/>
        </w:rPr>
      </w:pPr>
      <w:r>
        <w:rPr>
          <w:rFonts w:hint="eastAsia" w:ascii="宋体" w:hAnsi="宋体"/>
          <w:color w:val="000000"/>
          <w:sz w:val="24"/>
        </w:rPr>
        <w:t xml:space="preserve">1、已标价工程量清单中有适用于变更工程项目的，采用该项目的单价；但对于分部分项工程项目的单价投标报价高于控制价相应子目的单价的清单项目，工程量增加幅度超过本项目工程数量 15%（不含 15%）的，超过 15%的增加部分工程量的单价按控制价相应子目的单价与投标总价降幅同比下浮标准，经甲方确认后，作为结算的依据；对于分部分项的单价投标报价降幅低于控制价相应子目的单价 30%以上的清单项目，工程量减少幅度超过本项目工程数量 15%（不含 15%）的，超过 15%的减少部分工程量的单价按控制价相应子目的单价与投标总价降幅同比下浮标准，提出变更工程项目的单价，经甲方确认后，作为结算的依据；  </w:t>
      </w:r>
    </w:p>
    <w:p>
      <w:pPr>
        <w:snapToGrid w:val="0"/>
        <w:spacing w:before="93" w:beforeLines="30" w:line="360" w:lineRule="auto"/>
        <w:ind w:firstLine="480" w:firstLineChars="200"/>
        <w:rPr>
          <w:rFonts w:ascii="宋体" w:hAnsi="宋体"/>
          <w:color w:val="000000"/>
          <w:sz w:val="24"/>
        </w:rPr>
      </w:pPr>
      <w:r>
        <w:rPr>
          <w:rFonts w:hint="eastAsia" w:ascii="宋体" w:hAnsi="宋体"/>
          <w:color w:val="000000"/>
          <w:sz w:val="24"/>
        </w:rPr>
        <w:t xml:space="preserve">2、已标价工程量清单中没有适用但有类似于变更工程项目的，经甲方确认后可在合理范围内参照类似项目的单价。 </w:t>
      </w:r>
    </w:p>
    <w:p>
      <w:pPr>
        <w:snapToGrid w:val="0"/>
        <w:spacing w:before="93" w:beforeLines="30" w:line="360" w:lineRule="auto"/>
        <w:ind w:firstLine="480" w:firstLineChars="200"/>
        <w:rPr>
          <w:rFonts w:ascii="宋体" w:hAnsi="宋体"/>
          <w:color w:val="000000"/>
          <w:sz w:val="24"/>
        </w:rPr>
      </w:pPr>
      <w:r>
        <w:rPr>
          <w:rFonts w:hint="eastAsia" w:ascii="宋体" w:hAnsi="宋体"/>
          <w:color w:val="000000"/>
          <w:sz w:val="24"/>
        </w:rPr>
        <w:t xml:space="preserve">3、已标价工程量清单中没有适用也没有类似于变更工程项目的，由乙方根据变更工程资料、招标时的计量规则和计价办法、当期的工程造价管理机构发布的信息价格和乙方投标总价降幅同比下浮标准，经甲方确认后，提出变更工程项目的单价；  </w:t>
      </w:r>
    </w:p>
    <w:p>
      <w:pPr>
        <w:snapToGrid w:val="0"/>
        <w:spacing w:before="93" w:beforeLines="30" w:line="360" w:lineRule="auto"/>
        <w:ind w:firstLine="480" w:firstLineChars="200"/>
        <w:rPr>
          <w:rFonts w:ascii="宋体" w:hAnsi="宋体"/>
          <w:color w:val="000000"/>
          <w:sz w:val="24"/>
        </w:rPr>
      </w:pPr>
      <w:r>
        <w:rPr>
          <w:rFonts w:hint="eastAsia" w:ascii="宋体" w:hAnsi="宋体"/>
          <w:color w:val="000000"/>
          <w:sz w:val="24"/>
        </w:rPr>
        <w:t xml:space="preserve">4、已标价工程量清单中没有适用也没有类似于变更工程项目的，且工程造价管理机构发布的信息价缺价的，由乙方根据变更工程资料、招标时的计量规则和计价办法和通过市场调查等取得有合法依据的市场价格和乙方投标总价降幅同比下浮标准，提出变更工程项目的单价，经甲方确认后，作为结算的依据；  </w:t>
      </w:r>
    </w:p>
    <w:p>
      <w:pPr>
        <w:snapToGrid w:val="0"/>
        <w:spacing w:before="93" w:beforeLines="30" w:line="360" w:lineRule="auto"/>
        <w:ind w:firstLine="480" w:firstLineChars="200"/>
        <w:rPr>
          <w:rFonts w:ascii="宋体" w:hAnsi="宋体"/>
          <w:color w:val="000000"/>
          <w:sz w:val="24"/>
        </w:rPr>
      </w:pPr>
      <w:r>
        <w:rPr>
          <w:rFonts w:hint="eastAsia" w:ascii="宋体" w:hAnsi="宋体"/>
          <w:color w:val="000000"/>
          <w:sz w:val="24"/>
        </w:rPr>
        <w:t xml:space="preserve">2.1.2 工程变更引起施工方案改变并使措施项目发生变化时，乙方提出调整措施项目费的，应事前将拟实施的方案提交甲方确认，并应详细说明与原方案措施项目相比的变化情况。拟实施的方案经发承包双方确认后执行，并应按照下列规定调整措施项目费： </w:t>
      </w:r>
    </w:p>
    <w:p>
      <w:pPr>
        <w:snapToGrid w:val="0"/>
        <w:spacing w:before="93" w:beforeLines="30" w:line="360" w:lineRule="auto"/>
        <w:ind w:firstLine="480" w:firstLineChars="200"/>
        <w:rPr>
          <w:rFonts w:ascii="宋体" w:hAnsi="宋体"/>
          <w:color w:val="000000"/>
          <w:sz w:val="24"/>
        </w:rPr>
      </w:pPr>
      <w:r>
        <w:rPr>
          <w:rFonts w:hint="eastAsia" w:ascii="宋体" w:hAnsi="宋体"/>
          <w:color w:val="000000"/>
          <w:sz w:val="24"/>
        </w:rPr>
        <w:t xml:space="preserve">1、安全文明施工费应按照实际发生变化的措施项目依据原招标文件规定的费率计算； </w:t>
      </w:r>
    </w:p>
    <w:p>
      <w:pPr>
        <w:snapToGrid w:val="0"/>
        <w:spacing w:before="93" w:beforeLines="30" w:line="360" w:lineRule="auto"/>
        <w:ind w:firstLine="480" w:firstLineChars="200"/>
        <w:rPr>
          <w:rFonts w:ascii="宋体" w:hAnsi="宋体"/>
          <w:color w:val="000000"/>
          <w:sz w:val="24"/>
        </w:rPr>
      </w:pPr>
      <w:r>
        <w:rPr>
          <w:rFonts w:hint="eastAsia" w:ascii="宋体" w:hAnsi="宋体"/>
          <w:color w:val="000000"/>
          <w:sz w:val="24"/>
        </w:rPr>
        <w:t xml:space="preserve">2、按照单价计算的措施项目费，按照实际发生变化的措施项目和乙方投标总价降幅同比下浮标准，提出新的措施项目费，经甲方确认后，作为结算的依据； </w:t>
      </w:r>
    </w:p>
    <w:p>
      <w:pPr>
        <w:snapToGrid w:val="0"/>
        <w:spacing w:before="93" w:beforeLines="30" w:line="360" w:lineRule="auto"/>
        <w:ind w:firstLine="480" w:firstLineChars="200"/>
        <w:rPr>
          <w:rFonts w:ascii="宋体" w:hAnsi="宋体"/>
          <w:color w:val="000000"/>
          <w:sz w:val="24"/>
        </w:rPr>
      </w:pPr>
      <w:r>
        <w:rPr>
          <w:rFonts w:hint="eastAsia" w:ascii="宋体" w:hAnsi="宋体"/>
          <w:color w:val="000000"/>
          <w:sz w:val="24"/>
        </w:rPr>
        <w:t xml:space="preserve">3、按总价（或系数）计算的措施项目费，按照实际发生变化的措施项目和乙方投标总价降幅同比下浮标准，提出新的措施项目费，经甲方确认后，作为结算的依据； </w:t>
      </w:r>
    </w:p>
    <w:p>
      <w:pPr>
        <w:snapToGrid w:val="0"/>
        <w:spacing w:before="93" w:beforeLines="30" w:line="360" w:lineRule="auto"/>
        <w:ind w:firstLine="480" w:firstLineChars="200"/>
        <w:rPr>
          <w:rFonts w:ascii="宋体" w:hAnsi="宋体"/>
          <w:color w:val="000000"/>
          <w:sz w:val="24"/>
        </w:rPr>
      </w:pPr>
      <w:r>
        <w:rPr>
          <w:rFonts w:hint="eastAsia" w:ascii="宋体" w:hAnsi="宋体"/>
          <w:color w:val="000000"/>
          <w:sz w:val="24"/>
        </w:rPr>
        <w:t>4、如果乙方未事前将拟实施的方案提交给甲方确认，则应视为工程变更不引起措施项目费的调整或乙方放弃调整措施项目费的权利。</w:t>
      </w:r>
    </w:p>
    <w:p>
      <w:pPr>
        <w:spacing w:before="156" w:beforeLines="50" w:beforeAutospacing="1" w:after="93" w:afterLines="30" w:afterAutospacing="1" w:line="360" w:lineRule="auto"/>
        <w:rPr>
          <w:rFonts w:ascii="宋体" w:hAnsi="宋体"/>
          <w:sz w:val="24"/>
        </w:rPr>
      </w:pPr>
      <w:r>
        <w:rPr>
          <w:rFonts w:ascii="宋体" w:hAnsi="宋体"/>
          <w:b/>
          <w:bCs/>
          <w:sz w:val="24"/>
        </w:rPr>
        <w:t>第十</w:t>
      </w:r>
      <w:r>
        <w:rPr>
          <w:rFonts w:hint="eastAsia" w:ascii="宋体" w:hAnsi="宋体"/>
          <w:b/>
          <w:bCs/>
          <w:sz w:val="24"/>
        </w:rPr>
        <w:t>八</w:t>
      </w:r>
      <w:r>
        <w:rPr>
          <w:rFonts w:ascii="宋体" w:hAnsi="宋体"/>
          <w:b/>
          <w:bCs/>
          <w:sz w:val="24"/>
        </w:rPr>
        <w:t>条 </w:t>
      </w:r>
      <w:r>
        <w:rPr>
          <w:rFonts w:ascii="宋体" w:hAnsi="宋体"/>
          <w:sz w:val="24"/>
        </w:rPr>
        <w:t xml:space="preserve"> 其他</w:t>
      </w:r>
      <w:r>
        <w:rPr>
          <w:rFonts w:ascii="宋体" w:hAnsi="宋体"/>
          <w:sz w:val="24"/>
          <w:u w:val="single"/>
        </w:rPr>
        <w:t>            </w:t>
      </w:r>
      <w:r>
        <w:rPr>
          <w:rFonts w:ascii="宋体" w:hAnsi="宋体"/>
          <w:sz w:val="24"/>
        </w:rPr>
        <w:t>。</w:t>
      </w:r>
    </w:p>
    <w:p>
      <w:pPr>
        <w:spacing w:before="156" w:beforeLines="50" w:beforeAutospacing="1" w:after="93" w:afterLines="30" w:afterAutospacing="1" w:line="360" w:lineRule="auto"/>
        <w:ind w:firstLine="460" w:firstLineChars="192"/>
        <w:rPr>
          <w:rFonts w:ascii="宋体" w:hAnsi="宋体"/>
          <w:sz w:val="24"/>
        </w:rPr>
      </w:pPr>
      <w:r>
        <w:rPr>
          <w:rFonts w:ascii="宋体" w:hAnsi="宋体"/>
          <w:sz w:val="24"/>
        </w:rPr>
        <w:t>按本合同规定应该偿付的违约金、赔偿金、保管保养费和各种经济损失，应当在明确责任后</w:t>
      </w:r>
      <w:r>
        <w:rPr>
          <w:rFonts w:hint="eastAsia" w:ascii="宋体" w:hAnsi="宋体"/>
          <w:sz w:val="24"/>
        </w:rPr>
        <w:t>10</w:t>
      </w:r>
      <w:r>
        <w:rPr>
          <w:rFonts w:ascii="宋体" w:hAnsi="宋体"/>
          <w:sz w:val="24"/>
        </w:rPr>
        <w:t>天内，按银行规定的结算办法付清，否则按逾期付款处理。</w:t>
      </w:r>
    </w:p>
    <w:p>
      <w:pPr>
        <w:spacing w:before="156" w:beforeLines="50" w:beforeAutospacing="1" w:after="93" w:afterLines="30" w:afterAutospacing="1" w:line="360" w:lineRule="auto"/>
        <w:ind w:firstLine="460" w:firstLineChars="192"/>
        <w:rPr>
          <w:rFonts w:ascii="宋体" w:hAnsi="宋体"/>
          <w:sz w:val="24"/>
        </w:rPr>
      </w:pPr>
      <w:r>
        <w:rPr>
          <w:rFonts w:ascii="宋体" w:hAnsi="宋体"/>
          <w:sz w:val="24"/>
        </w:rPr>
        <w:t>本合同如发生纠纷，当事人双方应当及时协商解决，协商不成时，任何一方均可请</w:t>
      </w:r>
      <w:r>
        <w:rPr>
          <w:rFonts w:hint="eastAsia" w:ascii="宋体" w:hAnsi="宋体"/>
          <w:sz w:val="24"/>
        </w:rPr>
        <w:t>采购管理机关</w:t>
      </w:r>
      <w:r>
        <w:rPr>
          <w:rFonts w:ascii="宋体" w:hAnsi="宋体"/>
          <w:sz w:val="24"/>
        </w:rPr>
        <w:t>调解，调解不成，按以下第（</w:t>
      </w:r>
      <w:r>
        <w:rPr>
          <w:rFonts w:hint="eastAsia" w:ascii="宋体" w:hAnsi="宋体"/>
          <w:sz w:val="24"/>
        </w:rPr>
        <w:t xml:space="preserve">2 </w:t>
      </w:r>
      <w:r>
        <w:rPr>
          <w:rFonts w:ascii="宋体" w:hAnsi="宋体"/>
          <w:sz w:val="24"/>
        </w:rPr>
        <w:t>）项方式处理：（1）</w:t>
      </w:r>
      <w:r>
        <w:rPr>
          <w:rFonts w:hint="eastAsia" w:ascii="宋体" w:hAnsi="宋体"/>
          <w:sz w:val="24"/>
        </w:rPr>
        <w:t>根据《中华人民共和国仲裁法》的规定向</w:t>
      </w:r>
      <w:r>
        <w:rPr>
          <w:rFonts w:hint="eastAsia" w:ascii="宋体" w:hAnsi="宋体"/>
          <w:b/>
          <w:bCs/>
          <w:sz w:val="24"/>
          <w:u w:val="single"/>
        </w:rPr>
        <w:t>合肥仲裁委员会</w:t>
      </w:r>
      <w:r>
        <w:rPr>
          <w:rFonts w:hint="eastAsia" w:ascii="宋体" w:hAnsi="宋体"/>
          <w:sz w:val="24"/>
        </w:rPr>
        <w:t>申请仲裁。</w:t>
      </w:r>
      <w:r>
        <w:rPr>
          <w:rFonts w:ascii="宋体" w:hAnsi="宋体"/>
          <w:sz w:val="24"/>
        </w:rPr>
        <w:t>（2）向</w:t>
      </w:r>
      <w:r>
        <w:rPr>
          <w:rFonts w:hint="eastAsia" w:ascii="宋体" w:hAnsi="宋体"/>
          <w:sz w:val="24"/>
        </w:rPr>
        <w:t>甲方所在地</w:t>
      </w:r>
      <w:r>
        <w:rPr>
          <w:rFonts w:ascii="宋体" w:hAnsi="宋体"/>
          <w:sz w:val="24"/>
        </w:rPr>
        <w:t>人民法院起诉。</w:t>
      </w:r>
    </w:p>
    <w:p>
      <w:pPr>
        <w:spacing w:before="156" w:beforeLines="50" w:after="93" w:afterLines="30" w:line="360" w:lineRule="auto"/>
        <w:rPr>
          <w:rFonts w:ascii="宋体" w:hAnsi="宋体"/>
          <w:color w:val="000000"/>
          <w:sz w:val="24"/>
        </w:rPr>
      </w:pPr>
      <w:r>
        <w:rPr>
          <w:rFonts w:hint="eastAsia" w:ascii="宋体" w:hAnsi="宋体"/>
          <w:b/>
          <w:bCs/>
          <w:color w:val="000000"/>
          <w:sz w:val="24"/>
        </w:rPr>
        <w:t>第十九条</w:t>
      </w:r>
      <w:r>
        <w:rPr>
          <w:rFonts w:ascii="宋体" w:hAnsi="宋体"/>
          <w:b/>
          <w:bCs/>
          <w:color w:val="000000"/>
          <w:sz w:val="24"/>
        </w:rPr>
        <w:t> </w:t>
      </w:r>
      <w:r>
        <w:rPr>
          <w:rFonts w:hint="eastAsia" w:ascii="宋体" w:hAnsi="宋体"/>
          <w:color w:val="000000"/>
          <w:sz w:val="24"/>
        </w:rPr>
        <w:t>本合同自甲乙双方当事人签字盖章后生效。本合同一式</w:t>
      </w:r>
      <w:r>
        <w:rPr>
          <w:rFonts w:hint="eastAsia" w:ascii="宋体" w:hAnsi="宋体"/>
          <w:color w:val="000000"/>
          <w:sz w:val="24"/>
          <w:u w:val="single"/>
        </w:rPr>
        <w:t xml:space="preserve">  </w:t>
      </w:r>
      <w:r>
        <w:rPr>
          <w:rFonts w:hint="eastAsia" w:ascii="宋体" w:hAnsi="宋体"/>
          <w:color w:val="000000"/>
          <w:sz w:val="24"/>
        </w:rPr>
        <w:t>份，甲乙双方各执</w:t>
      </w:r>
      <w:r>
        <w:rPr>
          <w:rFonts w:hint="eastAsia" w:ascii="宋体" w:hAnsi="宋体"/>
          <w:color w:val="000000"/>
          <w:sz w:val="24"/>
          <w:u w:val="single"/>
        </w:rPr>
        <w:t xml:space="preserve">    </w:t>
      </w:r>
      <w:r>
        <w:rPr>
          <w:rFonts w:hint="eastAsia" w:ascii="宋体" w:hAnsi="宋体"/>
          <w:color w:val="000000"/>
          <w:sz w:val="24"/>
        </w:rPr>
        <w:t>份。</w:t>
      </w:r>
      <w:r>
        <w:rPr>
          <w:rFonts w:hint="eastAsia" w:ascii="宋体" w:hAnsi="宋体"/>
          <w:bCs/>
          <w:sz w:val="24"/>
        </w:rPr>
        <w:t>甲乙双方必须严格按照招标文件、投标文件及有关承诺签订合同，不得擅自变更。</w:t>
      </w:r>
    </w:p>
    <w:p>
      <w:pPr>
        <w:spacing w:before="156" w:beforeLines="50" w:after="93" w:afterLines="30" w:line="360" w:lineRule="auto"/>
        <w:rPr>
          <w:rFonts w:ascii="宋体" w:hAnsi="宋体"/>
          <w:color w:val="000000"/>
          <w:sz w:val="24"/>
        </w:rPr>
      </w:pPr>
      <w:r>
        <w:rPr>
          <w:rFonts w:hint="eastAsia" w:ascii="宋体" w:hAnsi="宋体"/>
          <w:b/>
          <w:bCs/>
          <w:sz w:val="24"/>
        </w:rPr>
        <w:t xml:space="preserve">第二十条 </w:t>
      </w:r>
      <w:r>
        <w:rPr>
          <w:rFonts w:hint="eastAsia" w:ascii="宋体" w:hAnsi="宋体"/>
          <w:color w:val="000000"/>
          <w:sz w:val="24"/>
        </w:rPr>
        <w:t>合同执行期内，甲乙双方均不得随意变更或解除合同。合同如有未尽事宜，须经双方共同协商，做出补充规定，补充规定与本合同具有同等效力，也可按照中华人民共和国《合同法》的规定执行。</w:t>
      </w:r>
    </w:p>
    <w:p>
      <w:pPr>
        <w:kinsoku w:val="0"/>
        <w:overflowPunct w:val="0"/>
        <w:spacing w:line="360" w:lineRule="auto"/>
        <w:ind w:left="8" w:hanging="8"/>
        <w:rPr>
          <w:rFonts w:ascii="宋体" w:hAnsi="Arial"/>
          <w:sz w:val="24"/>
        </w:rPr>
      </w:pPr>
      <w:r>
        <w:rPr>
          <w:rFonts w:hint="eastAsia" w:ascii="宋体" w:hAnsi="宋体"/>
          <w:b/>
          <w:bCs/>
          <w:sz w:val="24"/>
        </w:rPr>
        <w:t xml:space="preserve">第二十一条 </w:t>
      </w:r>
      <w:r>
        <w:rPr>
          <w:rFonts w:ascii="宋体" w:hAnsi="Arial"/>
          <w:sz w:val="24"/>
        </w:rPr>
        <w:t>下列关</w:t>
      </w:r>
      <w:r>
        <w:rPr>
          <w:rFonts w:ascii="宋体" w:hAnsi="Arial"/>
          <w:spacing w:val="-36"/>
          <w:sz w:val="24"/>
        </w:rPr>
        <w:t>于</w:t>
      </w:r>
      <w:r>
        <w:rPr>
          <w:rFonts w:hint="eastAsia" w:ascii="宋体" w:hAnsi="Arial"/>
          <w:spacing w:val="-3"/>
          <w:sz w:val="24"/>
        </w:rPr>
        <w:t>“商业大厦弱电系统升级改造工程”</w:t>
      </w:r>
      <w:r>
        <w:rPr>
          <w:rFonts w:ascii="宋体" w:hAnsi="Arial"/>
          <w:sz w:val="24"/>
        </w:rPr>
        <w:t>的第</w:t>
      </w:r>
      <w:r>
        <w:rPr>
          <w:rFonts w:hint="eastAsia" w:ascii="宋体" w:hAnsi="Arial"/>
          <w:sz w:val="24"/>
          <w:u w:val="single"/>
        </w:rPr>
        <w:t xml:space="preserve">        </w:t>
      </w:r>
      <w:r>
        <w:rPr>
          <w:rFonts w:ascii="宋体" w:hAnsi="Arial"/>
          <w:sz w:val="24"/>
        </w:rPr>
        <w:t>号招标文件及有关附件均是本合同不可分割的组成部分</w:t>
      </w:r>
      <w:r>
        <w:rPr>
          <w:rFonts w:ascii="宋体" w:hAnsi="Arial"/>
          <w:spacing w:val="-46"/>
          <w:sz w:val="24"/>
        </w:rPr>
        <w:t>，</w:t>
      </w:r>
      <w:r>
        <w:rPr>
          <w:rFonts w:ascii="宋体" w:hAnsi="Arial"/>
          <w:sz w:val="24"/>
        </w:rPr>
        <w:t>这些文件包括但不限于：（1）招标文</w:t>
      </w:r>
      <w:r>
        <w:rPr>
          <w:rFonts w:ascii="宋体" w:hAnsi="Arial"/>
          <w:spacing w:val="-46"/>
          <w:sz w:val="24"/>
        </w:rPr>
        <w:t>件</w:t>
      </w:r>
      <w:r>
        <w:rPr>
          <w:rFonts w:ascii="宋体" w:hAnsi="Arial"/>
          <w:sz w:val="24"/>
        </w:rPr>
        <w:t>（2）乙方提供的投标文</w:t>
      </w:r>
      <w:r>
        <w:rPr>
          <w:rFonts w:ascii="宋体" w:hAnsi="Arial"/>
          <w:spacing w:val="-15"/>
          <w:sz w:val="24"/>
        </w:rPr>
        <w:t>件</w:t>
      </w:r>
      <w:r>
        <w:rPr>
          <w:rFonts w:ascii="宋体" w:hAnsi="Arial"/>
          <w:sz w:val="24"/>
        </w:rPr>
        <w:t>（3</w:t>
      </w:r>
      <w:r>
        <w:rPr>
          <w:rFonts w:ascii="宋体" w:hAnsi="Arial"/>
          <w:spacing w:val="-15"/>
          <w:sz w:val="24"/>
        </w:rPr>
        <w:t>）</w:t>
      </w:r>
      <w:r>
        <w:rPr>
          <w:rFonts w:ascii="宋体" w:hAnsi="Arial"/>
          <w:sz w:val="24"/>
        </w:rPr>
        <w:t>服务承诺</w:t>
      </w:r>
      <w:r>
        <w:rPr>
          <w:rFonts w:ascii="宋体" w:hAnsi="Arial"/>
          <w:spacing w:val="-135"/>
          <w:sz w:val="24"/>
        </w:rPr>
        <w:t>；</w:t>
      </w:r>
      <w:r>
        <w:rPr>
          <w:rFonts w:ascii="宋体" w:hAnsi="Arial"/>
          <w:sz w:val="24"/>
        </w:rPr>
        <w:t>（4</w:t>
      </w:r>
      <w:r>
        <w:rPr>
          <w:rFonts w:ascii="宋体" w:hAnsi="Arial"/>
          <w:spacing w:val="-15"/>
          <w:sz w:val="24"/>
        </w:rPr>
        <w:t>）</w:t>
      </w:r>
      <w:r>
        <w:rPr>
          <w:rFonts w:ascii="宋体" w:hAnsi="Arial"/>
          <w:spacing w:val="2"/>
          <w:sz w:val="24"/>
        </w:rPr>
        <w:t>甲</w:t>
      </w:r>
      <w:r>
        <w:rPr>
          <w:rFonts w:ascii="宋体" w:hAnsi="Arial"/>
          <w:sz w:val="24"/>
        </w:rPr>
        <w:t>乙双方商定的其他文件</w:t>
      </w:r>
      <w:r>
        <w:rPr>
          <w:rFonts w:ascii="宋体" w:hAnsi="Arial"/>
          <w:spacing w:val="-15"/>
          <w:sz w:val="24"/>
        </w:rPr>
        <w:t>。</w:t>
      </w:r>
      <w:r>
        <w:rPr>
          <w:rFonts w:ascii="宋体" w:hAnsi="Arial"/>
          <w:sz w:val="24"/>
        </w:rPr>
        <w:t>以上附件顺序在前的具有优先解释权。</w:t>
      </w:r>
    </w:p>
    <w:p>
      <w:pPr>
        <w:kinsoku w:val="0"/>
        <w:overflowPunct w:val="0"/>
        <w:spacing w:line="360" w:lineRule="auto"/>
        <w:ind w:left="8" w:hanging="8"/>
        <w:rPr>
          <w:rFonts w:ascii="宋体" w:hAnsi="Arial"/>
          <w:sz w:val="24"/>
        </w:rPr>
      </w:pPr>
    </w:p>
    <w:p>
      <w:pPr>
        <w:kinsoku w:val="0"/>
        <w:overflowPunct w:val="0"/>
        <w:spacing w:line="360" w:lineRule="auto"/>
        <w:ind w:left="8" w:hanging="8"/>
        <w:rPr>
          <w:rFonts w:ascii="宋体" w:hAnsi="Arial"/>
          <w:sz w:val="24"/>
        </w:rPr>
      </w:pPr>
    </w:p>
    <w:p>
      <w:pPr>
        <w:kinsoku w:val="0"/>
        <w:overflowPunct w:val="0"/>
        <w:spacing w:line="360" w:lineRule="auto"/>
        <w:ind w:left="8" w:hanging="8"/>
        <w:rPr>
          <w:rFonts w:ascii="宋体" w:hAnsi="Arial"/>
          <w:sz w:val="24"/>
        </w:rPr>
      </w:pPr>
    </w:p>
    <w:p>
      <w:pPr>
        <w:kinsoku w:val="0"/>
        <w:overflowPunct w:val="0"/>
        <w:spacing w:line="360" w:lineRule="auto"/>
        <w:ind w:right="788"/>
        <w:rPr>
          <w:rFonts w:ascii="宋体" w:hAnsi="Arial"/>
          <w:sz w:val="24"/>
        </w:rPr>
      </w:pPr>
      <w:r>
        <w:rPr>
          <w:rFonts w:ascii="宋体" w:hAnsi="Arial"/>
          <w:sz w:val="24"/>
        </w:rPr>
        <w:t>招标</w:t>
      </w:r>
      <w:r>
        <w:rPr>
          <w:rFonts w:ascii="宋体" w:hAnsi="Arial"/>
          <w:spacing w:val="-43"/>
          <w:sz w:val="24"/>
        </w:rPr>
        <w:t>人</w:t>
      </w:r>
      <w:r>
        <w:rPr>
          <w:rFonts w:ascii="宋体" w:hAnsi="Arial"/>
          <w:sz w:val="24"/>
        </w:rPr>
        <w:t>（甲方</w:t>
      </w:r>
      <w:r>
        <w:rPr>
          <w:rFonts w:ascii="宋体" w:hAnsi="Arial"/>
          <w:spacing w:val="-120"/>
          <w:sz w:val="24"/>
        </w:rPr>
        <w:t>）</w:t>
      </w:r>
      <w:r>
        <w:rPr>
          <w:rFonts w:ascii="宋体" w:hAnsi="Arial"/>
          <w:sz w:val="24"/>
        </w:rPr>
        <w:t xml:space="preserve">  ：</w:t>
      </w:r>
      <w:r>
        <w:rPr>
          <w:rFonts w:ascii="宋体" w:hAnsi="Arial"/>
          <w:spacing w:val="76"/>
          <w:sz w:val="24"/>
        </w:rPr>
        <w:t xml:space="preserve"> </w:t>
      </w:r>
      <w:r>
        <w:rPr>
          <w:rFonts w:ascii="宋体" w:hAnsi="Arial"/>
          <w:sz w:val="24"/>
        </w:rPr>
        <w:t>（</w:t>
      </w:r>
      <w:r>
        <w:rPr>
          <w:rFonts w:ascii="宋体" w:hAnsi="Arial"/>
          <w:spacing w:val="-3"/>
          <w:sz w:val="24"/>
        </w:rPr>
        <w:t>公</w:t>
      </w:r>
      <w:r>
        <w:rPr>
          <w:rFonts w:ascii="宋体" w:hAnsi="Arial"/>
          <w:sz w:val="24"/>
        </w:rPr>
        <w:t>章</w:t>
      </w:r>
      <w:r>
        <w:rPr>
          <w:rFonts w:ascii="宋体" w:hAnsi="Arial"/>
          <w:spacing w:val="-44"/>
          <w:sz w:val="24"/>
        </w:rPr>
        <w:t>）</w:t>
      </w:r>
      <w:r>
        <w:rPr>
          <w:rFonts w:ascii="宋体" w:hAnsi="Arial"/>
          <w:sz w:val="24"/>
        </w:rPr>
        <w:t xml:space="preserve">            供货</w:t>
      </w:r>
      <w:r>
        <w:rPr>
          <w:rFonts w:ascii="宋体" w:hAnsi="Arial"/>
          <w:spacing w:val="-44"/>
          <w:sz w:val="24"/>
        </w:rPr>
        <w:t>人</w:t>
      </w:r>
      <w:r>
        <w:rPr>
          <w:rFonts w:ascii="宋体" w:hAnsi="Arial"/>
          <w:sz w:val="24"/>
        </w:rPr>
        <w:t>（乙方</w:t>
      </w:r>
      <w:r>
        <w:rPr>
          <w:rFonts w:ascii="宋体" w:hAnsi="Arial"/>
          <w:spacing w:val="-120"/>
          <w:sz w:val="24"/>
        </w:rPr>
        <w:t>）</w:t>
      </w:r>
      <w:r>
        <w:rPr>
          <w:rFonts w:ascii="宋体" w:hAnsi="Arial"/>
          <w:sz w:val="24"/>
        </w:rPr>
        <w:t xml:space="preserve">   ：（公 章）  </w:t>
      </w:r>
    </w:p>
    <w:p>
      <w:pPr>
        <w:kinsoku w:val="0"/>
        <w:overflowPunct w:val="0"/>
        <w:spacing w:line="360" w:lineRule="auto"/>
        <w:rPr>
          <w:rFonts w:ascii="宋体" w:hAnsi="Arial"/>
          <w:sz w:val="24"/>
        </w:rPr>
      </w:pPr>
      <w:r>
        <w:rPr>
          <w:rFonts w:ascii="宋体" w:hAnsi="Arial"/>
          <w:sz w:val="24"/>
        </w:rPr>
        <w:t xml:space="preserve">地址：                      </w:t>
      </w:r>
      <w:r>
        <w:rPr>
          <w:rFonts w:hint="eastAsia" w:ascii="宋体" w:hAnsi="Arial"/>
          <w:sz w:val="24"/>
        </w:rPr>
        <w:t xml:space="preserve">         </w:t>
      </w:r>
      <w:r>
        <w:rPr>
          <w:rFonts w:ascii="宋体" w:hAnsi="Arial"/>
          <w:sz w:val="24"/>
        </w:rPr>
        <w:t>地址：</w:t>
      </w:r>
    </w:p>
    <w:p>
      <w:pPr>
        <w:spacing w:line="360" w:lineRule="auto"/>
        <w:rPr>
          <w:b/>
          <w:bCs/>
          <w:sz w:val="24"/>
        </w:rPr>
      </w:pPr>
      <w:r>
        <w:rPr>
          <w:rFonts w:hint="eastAsia"/>
          <w:sz w:val="24"/>
        </w:rPr>
        <w:t>法人代表：                           法人代表：</w:t>
      </w:r>
    </w:p>
    <w:p>
      <w:pPr>
        <w:spacing w:line="360" w:lineRule="auto"/>
        <w:rPr>
          <w:sz w:val="24"/>
        </w:rPr>
      </w:pPr>
      <w:r>
        <w:rPr>
          <w:rFonts w:hint="eastAsia"/>
          <w:sz w:val="24"/>
        </w:rPr>
        <w:t>委托代理人：                         委托代理人：</w:t>
      </w:r>
    </w:p>
    <w:p>
      <w:pPr>
        <w:kinsoku w:val="0"/>
        <w:overflowPunct w:val="0"/>
        <w:spacing w:line="360" w:lineRule="auto"/>
        <w:rPr>
          <w:rFonts w:ascii="宋体" w:hAnsi="Arial"/>
          <w:sz w:val="24"/>
        </w:rPr>
      </w:pPr>
      <w:r>
        <w:rPr>
          <w:rFonts w:ascii="宋体" w:hAnsi="Arial"/>
          <w:sz w:val="24"/>
        </w:rPr>
        <w:t>电话：                               电话：</w:t>
      </w:r>
    </w:p>
    <w:p>
      <w:pPr>
        <w:spacing w:line="360" w:lineRule="auto"/>
        <w:rPr>
          <w:sz w:val="24"/>
        </w:rPr>
      </w:pPr>
      <w:r>
        <w:rPr>
          <w:rFonts w:hint="eastAsia"/>
          <w:sz w:val="24"/>
        </w:rPr>
        <w:t>开户银行：                           开户银行：</w:t>
      </w:r>
      <w:r>
        <w:rPr>
          <w:sz w:val="24"/>
        </w:rPr>
        <w:t xml:space="preserve"> </w:t>
      </w:r>
    </w:p>
    <w:p>
      <w:pPr>
        <w:spacing w:line="360" w:lineRule="auto"/>
        <w:rPr>
          <w:sz w:val="24"/>
        </w:rPr>
      </w:pPr>
      <w:r>
        <w:rPr>
          <w:rFonts w:hint="eastAsia"/>
          <w:sz w:val="24"/>
        </w:rPr>
        <w:t>账号：                               账号：</w:t>
      </w:r>
    </w:p>
    <w:p>
      <w:pPr>
        <w:tabs>
          <w:tab w:val="left" w:pos="2066"/>
        </w:tabs>
        <w:spacing w:line="360" w:lineRule="auto"/>
        <w:rPr>
          <w:sz w:val="24"/>
        </w:rPr>
      </w:pP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 xml:space="preserve">日          </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 xml:space="preserve">日 </w:t>
      </w: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pStyle w:val="2"/>
        <w:numPr>
          <w:ilvl w:val="0"/>
          <w:numId w:val="0"/>
        </w:numPr>
      </w:pPr>
      <w:bookmarkStart w:id="44" w:name="_Toc220232390"/>
      <w:bookmarkStart w:id="45" w:name="_Toc29394988"/>
      <w:bookmarkStart w:id="46" w:name="_Toc486433812"/>
      <w:r>
        <w:rPr>
          <w:rFonts w:hint="eastAsia"/>
        </w:rPr>
        <w:t>第六章</w:t>
      </w:r>
      <w:bookmarkEnd w:id="44"/>
      <w:r>
        <w:rPr>
          <w:rFonts w:hint="eastAsia"/>
        </w:rPr>
        <w:t xml:space="preserve"> 评标办法</w:t>
      </w:r>
      <w:bookmarkEnd w:id="45"/>
      <w:bookmarkEnd w:id="46"/>
    </w:p>
    <w:p/>
    <w:p>
      <w:pPr>
        <w:adjustRightInd w:val="0"/>
        <w:snapToGrid w:val="0"/>
        <w:spacing w:line="360" w:lineRule="auto"/>
        <w:ind w:right="-10" w:firstLine="420" w:firstLineChars="175"/>
        <w:rPr>
          <w:rFonts w:ascii="宋体" w:hAnsi="宋体"/>
          <w:sz w:val="24"/>
        </w:rPr>
      </w:pPr>
      <w:r>
        <w:rPr>
          <w:rFonts w:hint="eastAsia" w:ascii="宋体" w:hAnsi="宋体"/>
          <w:bCs/>
          <w:sz w:val="24"/>
        </w:rPr>
        <w:t>1.</w:t>
      </w:r>
      <w:r>
        <w:rPr>
          <w:rFonts w:hint="eastAsia" w:ascii="宋体" w:hAnsi="宋体"/>
          <w:sz w:val="24"/>
        </w:rPr>
        <w:t>为了做好商业大厦弱电系统升级改造工程（项目编号：</w:t>
      </w:r>
      <w:r>
        <w:rPr>
          <w:rFonts w:hint="eastAsia" w:ascii="宋体" w:hAnsi="宋体"/>
          <w:sz w:val="24"/>
          <w:lang w:val="en-US" w:eastAsia="zh-CN"/>
        </w:rPr>
        <w:t>HBZ-2000X-SYDS03</w:t>
      </w:r>
      <w:r>
        <w:rPr>
          <w:rFonts w:hint="eastAsia" w:ascii="宋体" w:hAnsi="宋体"/>
          <w:sz w:val="24"/>
        </w:rPr>
        <w:t>）的招标评标工作，维护投标人的合法权益，依据《中华人民共和国招标投标法》、《中华人民共和国招标投标法实施条例》及其它相关法律法规，本着公开、公平、公正的原则，制定评标办法。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0" w:firstLineChars="175"/>
        <w:rPr>
          <w:rFonts w:ascii="宋体" w:hAnsi="宋体"/>
          <w:sz w:val="24"/>
        </w:rPr>
      </w:pPr>
      <w:r>
        <w:rPr>
          <w:rFonts w:hint="eastAsia" w:ascii="宋体" w:hAnsi="宋体"/>
          <w:bCs/>
          <w:sz w:val="24"/>
        </w:rPr>
        <w:t>2.</w:t>
      </w:r>
      <w:r>
        <w:rPr>
          <w:rFonts w:hint="eastAsia" w:ascii="宋体" w:hAnsi="宋体"/>
          <w:sz w:val="24"/>
        </w:rPr>
        <w:t>本次项目评标采用有效最低价作为对投标人标书的比较方法。</w:t>
      </w:r>
    </w:p>
    <w:p>
      <w:pPr>
        <w:adjustRightInd w:val="0"/>
        <w:snapToGrid w:val="0"/>
        <w:spacing w:line="360" w:lineRule="auto"/>
        <w:ind w:left="-61" w:leftChars="-29" w:right="-10" w:firstLine="480" w:firstLineChars="200"/>
        <w:rPr>
          <w:rFonts w:ascii="宋体" w:hAnsi="宋体"/>
          <w:sz w:val="24"/>
        </w:rPr>
      </w:pPr>
      <w:r>
        <w:rPr>
          <w:rFonts w:hint="eastAsia" w:ascii="宋体" w:hAnsi="宋体"/>
          <w:bCs/>
          <w:sz w:val="24"/>
        </w:rPr>
        <w:t>3.</w:t>
      </w:r>
      <w:r>
        <w:rPr>
          <w:rFonts w:hint="eastAsia" w:ascii="宋体" w:hAnsi="宋体"/>
          <w:sz w:val="24"/>
        </w:rPr>
        <w:t>本项目将依法组建不少于</w:t>
      </w:r>
      <w:r>
        <w:rPr>
          <w:rFonts w:hint="eastAsia" w:ascii="宋体" w:hAnsi="宋体"/>
          <w:b/>
          <w:sz w:val="24"/>
          <w:u w:val="single"/>
        </w:rPr>
        <w:t>5</w:t>
      </w:r>
      <w:r>
        <w:rPr>
          <w:rFonts w:hint="eastAsia" w:ascii="宋体" w:hAnsi="宋体"/>
          <w:sz w:val="24"/>
        </w:rPr>
        <w:t>人的评标委员会，负责本项目的评标工作。</w:t>
      </w:r>
    </w:p>
    <w:p>
      <w:pPr>
        <w:adjustRightInd w:val="0"/>
        <w:snapToGrid w:val="0"/>
        <w:spacing w:line="360" w:lineRule="auto"/>
        <w:ind w:left="-61" w:leftChars="-29" w:right="-10" w:firstLine="480" w:firstLineChars="200"/>
        <w:rPr>
          <w:rFonts w:ascii="宋体" w:hAnsi="宋体"/>
          <w:sz w:val="24"/>
        </w:rPr>
      </w:pPr>
      <w:r>
        <w:rPr>
          <w:rFonts w:hint="eastAsia" w:ascii="宋体" w:hAnsi="宋体"/>
          <w:sz w:val="24"/>
        </w:rPr>
        <w:t>4.评标委员会按照“客观公正，实事求是”的原则，评价参加本次招标的投标人所提供的产品或服务价格、性能、质量、服务及对招标文件的符合性及响应性。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0" w:firstLineChars="200"/>
        <w:rPr>
          <w:rFonts w:ascii="宋体" w:hAnsi="宋体"/>
          <w:sz w:val="24"/>
        </w:rPr>
      </w:pPr>
      <w:r>
        <w:rPr>
          <w:rFonts w:hint="eastAsia" w:ascii="宋体" w:hAnsi="宋体"/>
          <w:sz w:val="24"/>
        </w:rPr>
        <w:t>5.有效投标应符合以下原则：</w:t>
      </w:r>
    </w:p>
    <w:p>
      <w:pPr>
        <w:spacing w:line="360" w:lineRule="auto"/>
        <w:ind w:left="480" w:right="-10"/>
        <w:rPr>
          <w:rFonts w:ascii="宋体" w:hAnsi="宋体"/>
          <w:sz w:val="24"/>
        </w:rPr>
      </w:pPr>
      <w:r>
        <w:rPr>
          <w:rFonts w:hint="eastAsia" w:ascii="宋体" w:hAnsi="宋体"/>
          <w:sz w:val="24"/>
        </w:rPr>
        <w:t>5.1满足招标文件的实质性要求；</w:t>
      </w:r>
    </w:p>
    <w:p>
      <w:pPr>
        <w:spacing w:line="360" w:lineRule="auto"/>
        <w:ind w:left="480" w:right="-10"/>
        <w:rPr>
          <w:rFonts w:ascii="宋体" w:hAnsi="宋体"/>
          <w:sz w:val="24"/>
        </w:rPr>
      </w:pPr>
      <w:r>
        <w:rPr>
          <w:rFonts w:hint="eastAsia" w:ascii="宋体" w:hAnsi="宋体"/>
          <w:sz w:val="24"/>
        </w:rPr>
        <w:t>5.2无重大偏离、保留或招标人不能接受的附加条件；</w:t>
      </w:r>
    </w:p>
    <w:p>
      <w:pPr>
        <w:spacing w:line="360" w:lineRule="auto"/>
        <w:ind w:left="480" w:right="-10"/>
        <w:rPr>
          <w:rFonts w:ascii="宋体" w:hAnsi="宋体"/>
          <w:sz w:val="24"/>
        </w:rPr>
      </w:pPr>
      <w:r>
        <w:rPr>
          <w:rFonts w:hint="eastAsia" w:ascii="宋体" w:hAnsi="宋体"/>
          <w:sz w:val="24"/>
        </w:rPr>
        <w:t>5.3通过初审；</w:t>
      </w:r>
    </w:p>
    <w:p>
      <w:pPr>
        <w:adjustRightInd w:val="0"/>
        <w:snapToGrid w:val="0"/>
        <w:spacing w:line="360" w:lineRule="auto"/>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360" w:lineRule="auto"/>
        <w:ind w:right="-10" w:firstLine="480" w:firstLineChars="200"/>
        <w:rPr>
          <w:rFonts w:ascii="宋体" w:hAnsi="宋体"/>
          <w:b/>
          <w:sz w:val="24"/>
        </w:rPr>
      </w:pPr>
      <w:r>
        <w:rPr>
          <w:rFonts w:hint="eastAsia" w:ascii="宋体" w:hAnsi="宋体"/>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360" w:lineRule="auto"/>
        <w:ind w:right="-10" w:firstLine="480" w:firstLineChars="200"/>
        <w:rPr>
          <w:rFonts w:ascii="宋体" w:hAnsi="宋体"/>
          <w:b/>
          <w:sz w:val="24"/>
        </w:rPr>
      </w:pPr>
      <w:r>
        <w:rPr>
          <w:rFonts w:hint="eastAsia" w:ascii="宋体" w:hAnsi="宋体"/>
          <w:sz w:val="24"/>
        </w:rPr>
        <w:t>7.</w:t>
      </w:r>
      <w:r>
        <w:rPr>
          <w:rFonts w:hint="eastAsia" w:ascii="宋体" w:hAnsi="宋体" w:cs="宋体-18030"/>
          <w:sz w:val="24"/>
        </w:rPr>
        <w:t>评审程序</w:t>
      </w:r>
    </w:p>
    <w:p>
      <w:pPr>
        <w:adjustRightInd w:val="0"/>
        <w:snapToGrid w:val="0"/>
        <w:spacing w:line="360" w:lineRule="auto"/>
        <w:ind w:right="-10" w:firstLine="424" w:firstLineChars="177"/>
        <w:rPr>
          <w:rFonts w:ascii="宋体" w:hAnsi="宋体"/>
          <w:bCs/>
          <w:sz w:val="24"/>
        </w:rPr>
      </w:pPr>
      <w:r>
        <w:rPr>
          <w:rFonts w:hint="eastAsia" w:ascii="宋体" w:hAnsi="宋体"/>
          <w:bCs/>
          <w:sz w:val="24"/>
        </w:rPr>
        <w:t>7.1评标委员会首先对所有投标人进行初审，初审中，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委要提出充足的否定理由，并予以书面记录。最终对投标人初审结论分为通过和未通过。</w:t>
      </w:r>
    </w:p>
    <w:p>
      <w:pPr>
        <w:adjustRightInd w:val="0"/>
        <w:snapToGrid w:val="0"/>
        <w:spacing w:line="360" w:lineRule="auto"/>
        <w:ind w:right="-10" w:firstLine="480" w:firstLineChars="200"/>
        <w:rPr>
          <w:rFonts w:ascii="宋体" w:hAnsi="宋体"/>
          <w:sz w:val="24"/>
        </w:rPr>
      </w:pPr>
      <w:r>
        <w:rPr>
          <w:rFonts w:hint="eastAsia" w:ascii="宋体" w:hAnsi="宋体"/>
          <w:bCs/>
          <w:sz w:val="24"/>
        </w:rPr>
        <w:t>7.2评委独立评审后，评标委员会对投标人某项指标如有不同意见，按照少数服从多数的原则，确定该项指标是否通过。符合初审指标通过标准的，为有效投标。评标委员会按下表内容进行初审。</w:t>
      </w:r>
    </w:p>
    <w:p>
      <w:pPr>
        <w:adjustRightInd w:val="0"/>
        <w:snapToGrid w:val="0"/>
        <w:spacing w:line="360" w:lineRule="auto"/>
        <w:ind w:right="-10" w:firstLine="480" w:firstLineChars="200"/>
        <w:rPr>
          <w:rFonts w:ascii="宋体" w:hAnsi="宋体"/>
          <w:sz w:val="24"/>
        </w:rPr>
      </w:pPr>
      <w:r>
        <w:rPr>
          <w:rFonts w:hint="eastAsia" w:ascii="宋体" w:hAnsi="宋体"/>
          <w:sz w:val="24"/>
        </w:rPr>
        <w:t>7.3初审：</w:t>
      </w:r>
    </w:p>
    <w:tbl>
      <w:tblPr>
        <w:tblStyle w:val="24"/>
        <w:tblW w:w="805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526"/>
        <w:gridCol w:w="2480"/>
        <w:gridCol w:w="780"/>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054" w:type="dxa"/>
            <w:gridSpan w:val="5"/>
            <w:vAlign w:val="center"/>
          </w:tcPr>
          <w:p>
            <w:pPr>
              <w:pStyle w:val="44"/>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b/>
              </w:rPr>
              <w:t>初审表（废标指标一览表）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72"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序号</w:t>
            </w:r>
          </w:p>
        </w:tc>
        <w:tc>
          <w:tcPr>
            <w:tcW w:w="1526" w:type="dxa"/>
            <w:tcBorders>
              <w:bottom w:val="single" w:color="auto" w:sz="4" w:space="0"/>
            </w:tcBorders>
            <w:vAlign w:val="center"/>
          </w:tcPr>
          <w:p>
            <w:pPr>
              <w:pStyle w:val="44"/>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kern w:val="2"/>
                <w:szCs w:val="24"/>
              </w:rPr>
              <w:t>指标名称</w:t>
            </w:r>
          </w:p>
        </w:tc>
        <w:tc>
          <w:tcPr>
            <w:tcW w:w="2480"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指标要求</w:t>
            </w:r>
          </w:p>
        </w:tc>
        <w:tc>
          <w:tcPr>
            <w:tcW w:w="780"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是否通过</w:t>
            </w:r>
          </w:p>
        </w:tc>
        <w:tc>
          <w:tcPr>
            <w:tcW w:w="2596"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1</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营业执照</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780" w:type="dxa"/>
            <w:vAlign w:val="center"/>
          </w:tcPr>
          <w:p>
            <w:pPr>
              <w:adjustRightInd w:val="0"/>
              <w:snapToGrid w:val="0"/>
              <w:spacing w:line="360" w:lineRule="auto"/>
              <w:ind w:right="-10"/>
              <w:jc w:val="center"/>
              <w:rPr>
                <w:rFonts w:ascii="宋体" w:hAnsi="宋体"/>
                <w:sz w:val="24"/>
              </w:rPr>
            </w:pPr>
          </w:p>
        </w:tc>
        <w:tc>
          <w:tcPr>
            <w:tcW w:w="2596" w:type="dxa"/>
            <w:vMerge w:val="restart"/>
            <w:vAlign w:val="center"/>
          </w:tcPr>
          <w:p>
            <w:pPr>
              <w:adjustRightInd w:val="0"/>
              <w:snapToGrid w:val="0"/>
              <w:spacing w:line="360" w:lineRule="auto"/>
              <w:ind w:right="-10"/>
              <w:jc w:val="center"/>
              <w:rPr>
                <w:rFonts w:ascii="宋体" w:hAnsi="宋体"/>
                <w:sz w:val="24"/>
              </w:rPr>
            </w:pPr>
            <w:r>
              <w:rPr>
                <w:rFonts w:hint="eastAsia" w:ascii="宋体" w:hAnsi="宋体"/>
                <w:sz w:val="24"/>
              </w:rPr>
              <w:t>提供有效的营业执照和税务登记证的扫描件</w:t>
            </w:r>
            <w:r>
              <w:rPr>
                <w:rFonts w:hint="eastAsia" w:ascii="宋体" w:hAnsi="宋体"/>
                <w:b/>
                <w:bCs/>
                <w:sz w:val="24"/>
              </w:rPr>
              <w:t>，应完整的体现出营业执照</w:t>
            </w:r>
            <w:r>
              <w:rPr>
                <w:rFonts w:hint="eastAsia" w:ascii="宋体" w:hAnsi="宋体"/>
                <w:b/>
                <w:sz w:val="24"/>
              </w:rPr>
              <w:t>（或</w:t>
            </w:r>
            <w:r>
              <w:rPr>
                <w:rFonts w:hint="eastAsia" w:ascii="宋体" w:hAnsi="宋体"/>
                <w:b/>
                <w:sz w:val="24"/>
                <w:szCs w:val="28"/>
              </w:rPr>
              <w:t>事业单位法人证书</w:t>
            </w:r>
            <w:r>
              <w:rPr>
                <w:rFonts w:hint="eastAsia" w:ascii="宋体" w:hAnsi="宋体"/>
                <w:b/>
                <w:sz w:val="24"/>
              </w:rPr>
              <w:t>）</w:t>
            </w:r>
            <w:r>
              <w:rPr>
                <w:rFonts w:hint="eastAsia" w:ascii="宋体" w:hAnsi="宋体"/>
                <w:b/>
                <w:bCs/>
                <w:sz w:val="24"/>
              </w:rPr>
              <w:t>和税务登记证的全部内容。提供三证合一营业执照扫描件的，税务登记证无需提供。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4" w:hRule="atLeas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2</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税务登记证</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780" w:type="dxa"/>
            <w:vAlign w:val="center"/>
          </w:tcPr>
          <w:p>
            <w:pPr>
              <w:adjustRightInd w:val="0"/>
              <w:snapToGrid w:val="0"/>
              <w:spacing w:line="360" w:lineRule="auto"/>
              <w:ind w:right="-10"/>
              <w:jc w:val="center"/>
              <w:rPr>
                <w:rFonts w:ascii="宋体" w:hAnsi="宋体"/>
                <w:sz w:val="24"/>
              </w:rPr>
            </w:pPr>
          </w:p>
        </w:tc>
        <w:tc>
          <w:tcPr>
            <w:tcW w:w="2596" w:type="dxa"/>
            <w:vMerge w:val="continue"/>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3</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投标函</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r>
              <w:rPr>
                <w:rFonts w:hint="eastAsia" w:ascii="宋体" w:hAnsi="宋体"/>
                <w:sz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4</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投标授权书</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r>
              <w:rPr>
                <w:rFonts w:hint="eastAsia" w:ascii="宋体" w:hAnsi="宋体"/>
                <w:sz w:val="24"/>
              </w:rPr>
              <w:t>要求详见第七章投标文件格式“投标授权书”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5</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报名情况</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未在报名截止时间前完成招标文件规定报名手续的，投标无效（核查报名手续）</w:t>
            </w:r>
          </w:p>
        </w:tc>
        <w:tc>
          <w:tcPr>
            <w:tcW w:w="780" w:type="dxa"/>
            <w:vAlign w:val="center"/>
          </w:tcPr>
          <w:p>
            <w:pPr>
              <w:spacing w:after="50" w:line="360" w:lineRule="auto"/>
              <w:ind w:right="-10"/>
              <w:jc w:val="center"/>
              <w:rPr>
                <w:rFonts w:ascii="宋体" w:hAnsi="宋体"/>
                <w:sz w:val="24"/>
                <w:szCs w:val="28"/>
              </w:rPr>
            </w:pPr>
          </w:p>
        </w:tc>
        <w:tc>
          <w:tcPr>
            <w:tcW w:w="2596" w:type="dxa"/>
            <w:vAlign w:val="center"/>
          </w:tcPr>
          <w:p>
            <w:pPr>
              <w:spacing w:after="50" w:line="360" w:lineRule="auto"/>
              <w:ind w:right="-10"/>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6</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投标保证金</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r>
              <w:rPr>
                <w:rFonts w:hint="eastAsia" w:ascii="宋体" w:hAnsi="宋体"/>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7</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开标一览表</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8</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投标报价</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9</w:t>
            </w:r>
          </w:p>
        </w:tc>
        <w:tc>
          <w:tcPr>
            <w:tcW w:w="1526" w:type="dxa"/>
          </w:tcPr>
          <w:p>
            <w:pPr>
              <w:spacing w:after="50" w:line="360" w:lineRule="auto"/>
              <w:ind w:right="-10"/>
              <w:jc w:val="center"/>
              <w:rPr>
                <w:rFonts w:ascii="宋体" w:hAnsi="宋体"/>
                <w:sz w:val="24"/>
                <w:szCs w:val="28"/>
              </w:rPr>
            </w:pPr>
            <w:r>
              <w:rPr>
                <w:rFonts w:hint="eastAsia" w:ascii="宋体" w:hAnsi="宋体"/>
                <w:sz w:val="24"/>
                <w:szCs w:val="28"/>
              </w:rPr>
              <w:t>投标人资质</w:t>
            </w:r>
          </w:p>
        </w:tc>
        <w:tc>
          <w:tcPr>
            <w:tcW w:w="2480" w:type="dxa"/>
          </w:tcPr>
          <w:p>
            <w:pPr>
              <w:spacing w:after="50" w:line="360" w:lineRule="auto"/>
              <w:ind w:right="-10"/>
              <w:jc w:val="center"/>
              <w:rPr>
                <w:rFonts w:ascii="宋体" w:hAnsi="宋体"/>
                <w:sz w:val="24"/>
                <w:szCs w:val="28"/>
              </w:rPr>
            </w:pPr>
            <w:r>
              <w:rPr>
                <w:rFonts w:hint="eastAsia" w:ascii="宋体" w:hAnsi="宋体"/>
                <w:sz w:val="24"/>
                <w:szCs w:val="28"/>
              </w:rPr>
              <w:t>符合招标公告要求</w:t>
            </w:r>
          </w:p>
        </w:tc>
        <w:tc>
          <w:tcPr>
            <w:tcW w:w="780" w:type="dxa"/>
          </w:tcPr>
          <w:p>
            <w:pPr>
              <w:adjustRightInd w:val="0"/>
              <w:snapToGrid w:val="0"/>
              <w:spacing w:line="360" w:lineRule="auto"/>
              <w:ind w:right="-10"/>
              <w:jc w:val="center"/>
              <w:rPr>
                <w:rFonts w:ascii="宋体" w:hAnsi="宋体"/>
                <w:sz w:val="24"/>
              </w:rPr>
            </w:pPr>
          </w:p>
        </w:tc>
        <w:tc>
          <w:tcPr>
            <w:tcW w:w="2596" w:type="dxa"/>
          </w:tcPr>
          <w:p>
            <w:pPr>
              <w:adjustRightInd w:val="0"/>
              <w:snapToGrid w:val="0"/>
              <w:spacing w:line="360" w:lineRule="auto"/>
              <w:ind w:right="-10"/>
              <w:jc w:val="center"/>
              <w:rPr>
                <w:rFonts w:ascii="宋体" w:hAnsi="宋体"/>
                <w:sz w:val="24"/>
              </w:rPr>
            </w:pPr>
            <w:r>
              <w:rPr>
                <w:rFonts w:hint="eastAsia" w:ascii="宋体" w:hAnsi="宋体"/>
                <w:sz w:val="24"/>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10</w:t>
            </w:r>
          </w:p>
        </w:tc>
        <w:tc>
          <w:tcPr>
            <w:tcW w:w="1526" w:type="dxa"/>
          </w:tcPr>
          <w:p>
            <w:pPr>
              <w:spacing w:after="50" w:line="360" w:lineRule="auto"/>
              <w:ind w:right="-10"/>
              <w:jc w:val="center"/>
              <w:rPr>
                <w:rFonts w:ascii="宋体" w:hAnsi="宋体"/>
                <w:sz w:val="24"/>
                <w:szCs w:val="28"/>
              </w:rPr>
            </w:pPr>
            <w:r>
              <w:rPr>
                <w:rFonts w:hint="eastAsia" w:ascii="宋体" w:hAnsi="宋体"/>
                <w:sz w:val="24"/>
                <w:szCs w:val="28"/>
              </w:rPr>
              <w:t>项目经理资质</w:t>
            </w:r>
          </w:p>
        </w:tc>
        <w:tc>
          <w:tcPr>
            <w:tcW w:w="2480" w:type="dxa"/>
          </w:tcPr>
          <w:p>
            <w:pPr>
              <w:spacing w:after="50" w:line="360" w:lineRule="auto"/>
              <w:ind w:right="-10"/>
              <w:jc w:val="center"/>
              <w:rPr>
                <w:rFonts w:ascii="宋体" w:hAnsi="宋体"/>
                <w:sz w:val="24"/>
                <w:szCs w:val="28"/>
              </w:rPr>
            </w:pPr>
            <w:r>
              <w:rPr>
                <w:rFonts w:hint="eastAsia" w:ascii="宋体" w:hAnsi="宋体"/>
                <w:sz w:val="24"/>
                <w:szCs w:val="28"/>
              </w:rPr>
              <w:t>符合招标公告要求</w:t>
            </w:r>
          </w:p>
        </w:tc>
        <w:tc>
          <w:tcPr>
            <w:tcW w:w="780" w:type="dxa"/>
          </w:tcPr>
          <w:p/>
        </w:tc>
        <w:tc>
          <w:tcPr>
            <w:tcW w:w="25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11</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投标人业绩</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符合招标公告要求</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r>
              <w:rPr>
                <w:rFonts w:hint="eastAsia" w:ascii="宋体" w:hAnsi="宋体"/>
                <w:sz w:val="24"/>
              </w:rPr>
              <w:t>详见投标人须知前附表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12</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技术响应（无重大偏离）、付款响应、完工期响应、质保期响应等。</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13</w:t>
            </w:r>
          </w:p>
        </w:tc>
        <w:tc>
          <w:tcPr>
            <w:tcW w:w="1526" w:type="dxa"/>
            <w:vAlign w:val="center"/>
          </w:tcPr>
          <w:p>
            <w:pPr>
              <w:spacing w:after="50" w:line="360" w:lineRule="auto"/>
              <w:ind w:right="-10"/>
              <w:jc w:val="center"/>
              <w:rPr>
                <w:rFonts w:ascii="宋体" w:hAnsi="宋体"/>
                <w:sz w:val="24"/>
              </w:rPr>
            </w:pPr>
            <w:r>
              <w:rPr>
                <w:rFonts w:hint="eastAsia" w:ascii="宋体" w:hAnsi="宋体"/>
                <w:sz w:val="24"/>
              </w:rPr>
              <w:t>标书规范性</w:t>
            </w:r>
          </w:p>
        </w:tc>
        <w:tc>
          <w:tcPr>
            <w:tcW w:w="2480" w:type="dxa"/>
            <w:vAlign w:val="center"/>
          </w:tcPr>
          <w:p>
            <w:pPr>
              <w:pStyle w:val="44"/>
              <w:pBdr>
                <w:bottom w:val="none" w:color="auto" w:sz="0" w:space="0"/>
              </w:pBdr>
              <w:tabs>
                <w:tab w:val="clear" w:pos="4153"/>
                <w:tab w:val="clear" w:pos="8306"/>
              </w:tabs>
              <w:adjustRightInd/>
              <w:spacing w:after="50" w:line="360" w:lineRule="auto"/>
              <w:ind w:right="-10"/>
              <w:textAlignment w:val="auto"/>
              <w:rPr>
                <w:rFonts w:ascii="宋体" w:hAnsi="宋体"/>
                <w:kern w:val="2"/>
              </w:rPr>
            </w:pPr>
            <w:r>
              <w:rPr>
                <w:rFonts w:hint="eastAsia" w:ascii="宋体" w:hAnsi="宋体"/>
              </w:rPr>
              <w:t>无严重的编排混乱、内容不全或字迹模糊辨认不清、前后矛盾情况，对评标无实质性影响的；</w:t>
            </w:r>
            <w:r>
              <w:rPr>
                <w:rFonts w:hint="eastAsia" w:ascii="宋体" w:hAnsi="宋体"/>
                <w:kern w:val="2"/>
              </w:rPr>
              <w:t xml:space="preserve"> </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14</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其他要求</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上述指标中未列出，但国家相关法律法规或招标文件有明确规定的</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4" w:type="dxa"/>
            <w:gridSpan w:val="5"/>
            <w:vAlign w:val="center"/>
          </w:tcPr>
          <w:p>
            <w:pPr>
              <w:adjustRightInd w:val="0"/>
              <w:snapToGrid w:val="0"/>
              <w:spacing w:line="360" w:lineRule="auto"/>
              <w:ind w:right="-10"/>
              <w:rPr>
                <w:rFonts w:ascii="宋体" w:hAnsi="宋体"/>
                <w:sz w:val="24"/>
              </w:rPr>
            </w:pPr>
            <w:r>
              <w:rPr>
                <w:rFonts w:hint="eastAsia" w:ascii="宋体" w:hAnsi="宋体"/>
                <w:sz w:val="24"/>
              </w:rPr>
              <w:t>初审指标通过标准：投标人必须通过上述全部指标。</w:t>
            </w:r>
          </w:p>
          <w:p>
            <w:pPr>
              <w:adjustRightInd w:val="0"/>
              <w:snapToGrid w:val="0"/>
              <w:spacing w:line="360" w:lineRule="auto"/>
              <w:ind w:right="-10"/>
              <w:rPr>
                <w:rFonts w:ascii="宋体" w:hAnsi="宋体"/>
                <w:sz w:val="24"/>
              </w:rPr>
            </w:pPr>
            <w:r>
              <w:rPr>
                <w:rFonts w:hint="eastAsia" w:ascii="宋体" w:hAnsi="宋体"/>
                <w:sz w:val="24"/>
              </w:rPr>
              <w:t>评标委员会根据表中所列各项指标对投标人是否为有效标进行评审。</w:t>
            </w:r>
          </w:p>
        </w:tc>
      </w:tr>
    </w:tbl>
    <w:p>
      <w:pPr>
        <w:adjustRightInd w:val="0"/>
        <w:snapToGrid w:val="0"/>
        <w:spacing w:line="360" w:lineRule="auto"/>
        <w:ind w:right="-10" w:firstLine="420" w:firstLineChars="175"/>
        <w:rPr>
          <w:rFonts w:ascii="宋体" w:hAnsi="宋体"/>
          <w:bCs/>
          <w:sz w:val="24"/>
        </w:rPr>
      </w:pPr>
      <w:r>
        <w:rPr>
          <w:rFonts w:hint="eastAsia" w:ascii="宋体" w:hAnsi="宋体"/>
          <w:bCs/>
          <w:sz w:val="24"/>
        </w:rPr>
        <w:t>7.4评标委员会将对所有通过初审的投标文件进行详细评审，按有效报价由低到高排出中标候选人。</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8.中标候选人一经得出，任何人不得更改。</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9.评标委员会在评标过程中发现的问题，应当及时作出处理或者向招标人提出处理建议，并作书面记录。</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10.投标人投标报价与公布的预算价相比降幅过小，或投标人投标报价明显缺乏竞争性的，评标委员会可以否决所有投标。</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11.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12.评标委员会和评标工作人员应严格遵守国家的法律、法规和规章制度；严格按照本次招标文件进行评标；公正廉洁、不徇私情，不得损害国家利益；保护投标人的合法权益。</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13.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pPr>
        <w:adjustRightInd w:val="0"/>
        <w:snapToGrid w:val="0"/>
        <w:spacing w:line="360" w:lineRule="auto"/>
        <w:ind w:right="-10" w:firstLine="480" w:firstLineChars="200"/>
        <w:rPr>
          <w:rFonts w:ascii="宋体" w:hAnsi="宋体"/>
          <w:sz w:val="24"/>
        </w:rPr>
      </w:pPr>
      <w:r>
        <w:rPr>
          <w:rFonts w:hint="eastAsia" w:ascii="宋体" w:hAnsi="宋体"/>
          <w:bCs/>
          <w:sz w:val="24"/>
        </w:rPr>
        <w:t>14.本评标办法的解释权属于合肥百货大楼集团商业大厦有限责任公司。</w:t>
      </w: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pStyle w:val="2"/>
        <w:numPr>
          <w:ilvl w:val="0"/>
          <w:numId w:val="0"/>
        </w:numPr>
      </w:pPr>
      <w:bookmarkStart w:id="47" w:name="_Toc29394989"/>
      <w:r>
        <w:rPr>
          <w:rFonts w:hint="eastAsia"/>
        </w:rPr>
        <w:t>第七章</w:t>
      </w:r>
      <w:r>
        <w:t xml:space="preserve"> </w:t>
      </w:r>
      <w:r>
        <w:rPr>
          <w:rFonts w:hint="eastAsia"/>
        </w:rPr>
        <w:t>投标文件格式</w:t>
      </w:r>
      <w:bookmarkEnd w:id="47"/>
    </w:p>
    <w:p>
      <w:pPr>
        <w:jc w:val="center"/>
        <w:rPr>
          <w:b/>
          <w:sz w:val="28"/>
          <w:szCs w:val="28"/>
        </w:rPr>
      </w:pPr>
      <w:r>
        <w:rPr>
          <w:rFonts w:hint="eastAsia"/>
          <w:b/>
          <w:sz w:val="28"/>
          <w:szCs w:val="28"/>
        </w:rPr>
        <w:t>一、投标承诺书</w:t>
      </w:r>
    </w:p>
    <w:p>
      <w:pPr>
        <w:spacing w:before="150" w:line="440" w:lineRule="exact"/>
        <w:rPr>
          <w:sz w:val="24"/>
          <w:szCs w:val="24"/>
        </w:rPr>
      </w:pPr>
      <w:r>
        <w:rPr>
          <w:rFonts w:hint="eastAsia"/>
          <w:sz w:val="24"/>
          <w:szCs w:val="24"/>
        </w:rPr>
        <w:t>致合肥百货大楼集团商业大厦有限责任公司：</w:t>
      </w:r>
    </w:p>
    <w:p>
      <w:pPr>
        <w:spacing w:line="440" w:lineRule="exact"/>
        <w:ind w:firstLine="360"/>
        <w:rPr>
          <w:sz w:val="24"/>
          <w:szCs w:val="24"/>
        </w:rPr>
      </w:pPr>
      <w:r>
        <w:rPr>
          <w:rFonts w:hint="eastAsia"/>
          <w:sz w:val="24"/>
          <w:szCs w:val="24"/>
        </w:rPr>
        <w:t>根据贵司号招标文件要求，我司签字代表（姓名、职务）已被正式授权代表投标人（投标人名称）提交下述文件：</w:t>
      </w:r>
    </w:p>
    <w:p>
      <w:pPr>
        <w:spacing w:line="440" w:lineRule="exact"/>
        <w:ind w:firstLine="360" w:firstLineChars="150"/>
        <w:rPr>
          <w:sz w:val="24"/>
          <w:szCs w:val="24"/>
        </w:rPr>
      </w:pPr>
      <w:r>
        <w:rPr>
          <w:rFonts w:hint="eastAsia"/>
          <w:sz w:val="24"/>
          <w:szCs w:val="24"/>
        </w:rPr>
        <w:t>⑴开标一览表</w:t>
      </w:r>
    </w:p>
    <w:p>
      <w:pPr>
        <w:spacing w:line="440" w:lineRule="exact"/>
        <w:ind w:firstLine="360" w:firstLineChars="150"/>
        <w:rPr>
          <w:sz w:val="24"/>
          <w:szCs w:val="24"/>
        </w:rPr>
      </w:pPr>
      <w:r>
        <w:rPr>
          <w:rFonts w:hint="eastAsia"/>
          <w:sz w:val="24"/>
          <w:szCs w:val="24"/>
        </w:rPr>
        <w:t>⑵服务方案</w:t>
      </w:r>
    </w:p>
    <w:p>
      <w:pPr>
        <w:spacing w:line="440" w:lineRule="exact"/>
        <w:ind w:firstLine="360" w:firstLineChars="150"/>
        <w:rPr>
          <w:sz w:val="24"/>
          <w:szCs w:val="24"/>
        </w:rPr>
      </w:pPr>
      <w:r>
        <w:rPr>
          <w:rFonts w:hint="eastAsia"/>
          <w:sz w:val="24"/>
          <w:szCs w:val="24"/>
        </w:rPr>
        <w:t>⑶资质文件</w:t>
      </w:r>
    </w:p>
    <w:p>
      <w:pPr>
        <w:spacing w:line="440" w:lineRule="exact"/>
        <w:ind w:firstLine="360" w:firstLineChars="150"/>
        <w:rPr>
          <w:sz w:val="24"/>
          <w:szCs w:val="24"/>
        </w:rPr>
      </w:pPr>
      <w:r>
        <w:rPr>
          <w:rFonts w:hint="eastAsia"/>
          <w:sz w:val="24"/>
          <w:szCs w:val="24"/>
        </w:rPr>
        <w:t>⑷相关证明</w:t>
      </w:r>
    </w:p>
    <w:p>
      <w:pPr>
        <w:spacing w:line="440" w:lineRule="exact"/>
        <w:ind w:firstLine="360" w:firstLineChars="150"/>
        <w:rPr>
          <w:sz w:val="24"/>
          <w:szCs w:val="24"/>
        </w:rPr>
      </w:pPr>
      <w:r>
        <w:rPr>
          <w:rFonts w:hint="eastAsia" w:ascii="宋体" w:hAnsi="宋体"/>
          <w:sz w:val="24"/>
          <w:szCs w:val="24"/>
        </w:rPr>
        <w:t>⑸</w:t>
      </w:r>
      <w:r>
        <w:rPr>
          <w:rFonts w:hint="eastAsia"/>
          <w:sz w:val="24"/>
          <w:szCs w:val="24"/>
        </w:rPr>
        <w:t>工程量清单报价表</w:t>
      </w:r>
    </w:p>
    <w:p>
      <w:pPr>
        <w:spacing w:line="440" w:lineRule="exact"/>
        <w:ind w:firstLine="120" w:firstLineChars="50"/>
        <w:rPr>
          <w:sz w:val="24"/>
          <w:szCs w:val="24"/>
        </w:rPr>
      </w:pPr>
      <w:r>
        <w:rPr>
          <w:rFonts w:hint="eastAsia"/>
          <w:sz w:val="24"/>
          <w:szCs w:val="24"/>
        </w:rPr>
        <w:t>同时，签字代表宣布承诺如下：</w:t>
      </w:r>
    </w:p>
    <w:p>
      <w:pPr>
        <w:spacing w:line="440" w:lineRule="exact"/>
        <w:ind w:firstLine="120"/>
        <w:rPr>
          <w:sz w:val="24"/>
          <w:szCs w:val="24"/>
        </w:rPr>
      </w:pPr>
      <w:r>
        <w:rPr>
          <w:rFonts w:hint="eastAsia"/>
          <w:sz w:val="24"/>
          <w:szCs w:val="24"/>
        </w:rPr>
        <w:t>⑴投标人已详细阅读全部招标文件（含修改文件），并理解其实质性内容，同意承担其规定的全部义务和相关责任。</w:t>
      </w:r>
    </w:p>
    <w:p>
      <w:pPr>
        <w:spacing w:line="440" w:lineRule="exact"/>
        <w:ind w:firstLine="120"/>
        <w:rPr>
          <w:sz w:val="24"/>
          <w:szCs w:val="24"/>
        </w:rPr>
      </w:pPr>
      <w:r>
        <w:rPr>
          <w:rFonts w:hint="eastAsia"/>
          <w:sz w:val="24"/>
          <w:szCs w:val="24"/>
        </w:rPr>
        <w:t>⑵投标人严格按照招标文件的规定报价，如被确定为中标人后，将全面履行合同。</w:t>
      </w:r>
    </w:p>
    <w:p>
      <w:pPr>
        <w:spacing w:line="440" w:lineRule="exact"/>
        <w:ind w:firstLine="120"/>
        <w:rPr>
          <w:sz w:val="24"/>
          <w:szCs w:val="24"/>
        </w:rPr>
      </w:pPr>
      <w:r>
        <w:rPr>
          <w:rFonts w:hint="eastAsia"/>
          <w:sz w:val="24"/>
          <w:szCs w:val="24"/>
        </w:rPr>
        <w:t>⑶投标人在交付投标保证金后，如出现串标、毁标、中标后不签订合同等违规行为，招标人有权没收该保证金。</w:t>
      </w:r>
    </w:p>
    <w:p>
      <w:pPr>
        <w:spacing w:line="440" w:lineRule="exact"/>
        <w:ind w:firstLine="120"/>
        <w:rPr>
          <w:sz w:val="24"/>
          <w:szCs w:val="24"/>
        </w:rPr>
      </w:pPr>
      <w:r>
        <w:rPr>
          <w:rFonts w:hint="eastAsia"/>
          <w:sz w:val="24"/>
          <w:szCs w:val="24"/>
        </w:rPr>
        <w:t>⑷投标人近三年来没有骗取中标和严重违约及重大质量、安全问题。</w:t>
      </w:r>
    </w:p>
    <w:p>
      <w:pPr>
        <w:spacing w:line="440" w:lineRule="exact"/>
        <w:ind w:firstLine="120"/>
        <w:rPr>
          <w:sz w:val="24"/>
          <w:szCs w:val="24"/>
        </w:rPr>
      </w:pPr>
      <w:r>
        <w:rPr>
          <w:rFonts w:hint="eastAsia"/>
          <w:sz w:val="24"/>
          <w:szCs w:val="24"/>
        </w:rPr>
        <w:t>⑸投标人完全理解招标人不以最低报价作为确定中标人唯一标准的评定标方式。</w:t>
      </w:r>
    </w:p>
    <w:p>
      <w:pPr>
        <w:spacing w:line="440" w:lineRule="exact"/>
        <w:ind w:firstLine="120"/>
        <w:rPr>
          <w:sz w:val="24"/>
          <w:szCs w:val="24"/>
        </w:rPr>
      </w:pPr>
      <w:r>
        <w:rPr>
          <w:rFonts w:hint="eastAsia"/>
          <w:sz w:val="24"/>
          <w:szCs w:val="24"/>
        </w:rPr>
        <w:t>⑹投标人同意提供招标人可能要求的与其投标有关的一切数据或资料。</w:t>
      </w:r>
    </w:p>
    <w:p>
      <w:pPr>
        <w:spacing w:line="440" w:lineRule="exact"/>
        <w:rPr>
          <w:sz w:val="24"/>
          <w:szCs w:val="24"/>
        </w:rPr>
      </w:pPr>
    </w:p>
    <w:p>
      <w:pPr>
        <w:spacing w:line="440" w:lineRule="exact"/>
        <w:ind w:firstLine="240" w:firstLineChars="100"/>
        <w:rPr>
          <w:sz w:val="24"/>
          <w:szCs w:val="24"/>
        </w:rPr>
      </w:pPr>
      <w:r>
        <w:rPr>
          <w:rFonts w:hint="eastAsia"/>
          <w:sz w:val="24"/>
          <w:szCs w:val="24"/>
        </w:rPr>
        <w:t>特此承诺</w:t>
      </w:r>
    </w:p>
    <w:p>
      <w:pPr>
        <w:spacing w:line="440" w:lineRule="exact"/>
        <w:rPr>
          <w:sz w:val="24"/>
        </w:rPr>
      </w:pPr>
    </w:p>
    <w:p>
      <w:pPr>
        <w:spacing w:line="440" w:lineRule="exact"/>
        <w:jc w:val="right"/>
        <w:rPr>
          <w:sz w:val="24"/>
        </w:rPr>
      </w:pPr>
    </w:p>
    <w:p>
      <w:pPr>
        <w:spacing w:line="500" w:lineRule="exact"/>
        <w:jc w:val="right"/>
        <w:rPr>
          <w:sz w:val="24"/>
        </w:rPr>
      </w:pPr>
      <w:r>
        <w:rPr>
          <w:rFonts w:hint="eastAsia"/>
          <w:sz w:val="24"/>
        </w:rPr>
        <w:t>投标人（公章）：</w:t>
      </w:r>
    </w:p>
    <w:p>
      <w:pPr>
        <w:spacing w:line="500" w:lineRule="exact"/>
        <w:jc w:val="right"/>
        <w:rPr>
          <w:sz w:val="24"/>
        </w:rPr>
      </w:pPr>
      <w:r>
        <w:rPr>
          <w:rFonts w:hint="eastAsia"/>
          <w:sz w:val="24"/>
        </w:rPr>
        <w:t>企业法人（签字）：</w:t>
      </w:r>
    </w:p>
    <w:p>
      <w:pPr>
        <w:spacing w:line="500" w:lineRule="exact"/>
        <w:jc w:val="right"/>
        <w:rPr>
          <w:sz w:val="24"/>
        </w:rPr>
      </w:pPr>
      <w:r>
        <w:rPr>
          <w:rFonts w:hint="eastAsia"/>
          <w:sz w:val="24"/>
        </w:rPr>
        <w:t>授权代表（签字）：</w:t>
      </w:r>
    </w:p>
    <w:p>
      <w:pPr>
        <w:spacing w:line="500" w:lineRule="exact"/>
        <w:jc w:val="right"/>
        <w:rPr>
          <w:sz w:val="24"/>
        </w:rPr>
      </w:pPr>
      <w:r>
        <w:rPr>
          <w:rFonts w:hint="eastAsia"/>
          <w:sz w:val="24"/>
        </w:rPr>
        <w:t>二〇二〇年 月 日</w:t>
      </w:r>
    </w:p>
    <w:p/>
    <w:p>
      <w:pPr>
        <w:jc w:val="center"/>
        <w:rPr>
          <w:b/>
          <w:sz w:val="28"/>
          <w:szCs w:val="28"/>
        </w:rPr>
      </w:pPr>
      <w:r>
        <w:rPr>
          <w:rFonts w:hint="eastAsia"/>
          <w:b/>
          <w:sz w:val="28"/>
          <w:szCs w:val="28"/>
        </w:rPr>
        <w:t>二、开标一览表</w:t>
      </w:r>
    </w:p>
    <w:p/>
    <w:tbl>
      <w:tblPr>
        <w:tblStyle w:val="24"/>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81"/>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579" w:type="dxa"/>
            <w:gridSpan w:val="2"/>
            <w:vAlign w:val="center"/>
          </w:tcPr>
          <w:p>
            <w:pPr>
              <w:jc w:val="center"/>
              <w:rPr>
                <w:rFonts w:ascii="宋体"/>
                <w:b/>
                <w:sz w:val="24"/>
              </w:rPr>
            </w:pPr>
            <w:r>
              <w:rPr>
                <w:rFonts w:hint="eastAsia" w:ascii="宋体" w:hAnsi="宋体"/>
                <w:b/>
                <w:sz w:val="24"/>
              </w:rPr>
              <w:t>招标项目名称</w:t>
            </w:r>
          </w:p>
        </w:tc>
        <w:tc>
          <w:tcPr>
            <w:tcW w:w="7176" w:type="dxa"/>
            <w:vAlign w:val="center"/>
          </w:tcPr>
          <w:p>
            <w:pPr>
              <w:jc w:val="center"/>
              <w:rPr>
                <w:rFonts w:hint="eastAsia" w:eastAsia="宋体"/>
                <w:sz w:val="24"/>
                <w:lang w:val="en-US" w:eastAsia="zh-CN"/>
              </w:rPr>
            </w:pPr>
            <w:r>
              <w:rPr>
                <w:rFonts w:hint="eastAsia"/>
                <w:sz w:val="24"/>
              </w:rPr>
              <w:t>商业大厦弱电系统升级</w:t>
            </w:r>
            <w:r>
              <w:rPr>
                <w:rFonts w:hint="eastAsia"/>
                <w:sz w:val="24"/>
                <w:lang w:eastAsia="zh-CN"/>
              </w:rPr>
              <w:t>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2579" w:type="dxa"/>
            <w:gridSpan w:val="2"/>
            <w:vAlign w:val="center"/>
          </w:tcPr>
          <w:p>
            <w:pPr>
              <w:jc w:val="center"/>
              <w:rPr>
                <w:rFonts w:ascii="宋体"/>
                <w:b/>
                <w:sz w:val="24"/>
              </w:rPr>
            </w:pPr>
            <w:r>
              <w:rPr>
                <w:rFonts w:hint="eastAsia" w:ascii="宋体" w:hAnsi="宋体"/>
                <w:b/>
                <w:sz w:val="24"/>
              </w:rPr>
              <w:t>招标编号</w:t>
            </w:r>
          </w:p>
        </w:tc>
        <w:tc>
          <w:tcPr>
            <w:tcW w:w="7176" w:type="dxa"/>
            <w:vAlign w:val="center"/>
          </w:tcPr>
          <w:p>
            <w:pPr>
              <w:rPr>
                <w:rFonts w:asci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579" w:type="dxa"/>
            <w:gridSpan w:val="2"/>
            <w:vAlign w:val="center"/>
          </w:tcPr>
          <w:p>
            <w:pPr>
              <w:jc w:val="center"/>
              <w:rPr>
                <w:rFonts w:ascii="宋体"/>
                <w:b/>
                <w:sz w:val="24"/>
              </w:rPr>
            </w:pPr>
            <w:r>
              <w:rPr>
                <w:rFonts w:hint="eastAsia" w:ascii="宋体" w:hAnsi="宋体"/>
                <w:b/>
                <w:sz w:val="24"/>
              </w:rPr>
              <w:t>投标人全称</w:t>
            </w:r>
          </w:p>
        </w:tc>
        <w:tc>
          <w:tcPr>
            <w:tcW w:w="7176"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9755" w:type="dxa"/>
            <w:gridSpan w:val="3"/>
            <w:vAlign w:val="center"/>
          </w:tcPr>
          <w:p>
            <w:pPr>
              <w:rPr>
                <w:rFonts w:ascii="宋体"/>
                <w:b/>
                <w:sz w:val="24"/>
              </w:rPr>
            </w:pPr>
            <w:r>
              <w:rPr>
                <w:rFonts w:hint="eastAsia" w:ascii="宋体" w:hAnsi="宋体"/>
                <w:b/>
                <w:sz w:val="24"/>
              </w:rPr>
              <w:t>一、服务承诺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598" w:type="dxa"/>
            <w:vAlign w:val="center"/>
          </w:tcPr>
          <w:p>
            <w:pPr>
              <w:rPr>
                <w:rFonts w:ascii="宋体"/>
                <w:sz w:val="24"/>
              </w:rPr>
            </w:pPr>
            <w:r>
              <w:rPr>
                <w:rFonts w:ascii="宋体" w:hAnsi="宋体"/>
                <w:sz w:val="24"/>
              </w:rPr>
              <w:t>1</w:t>
            </w:r>
          </w:p>
        </w:tc>
        <w:tc>
          <w:tcPr>
            <w:tcW w:w="1981" w:type="dxa"/>
            <w:vAlign w:val="center"/>
          </w:tcPr>
          <w:p>
            <w:pPr>
              <w:rPr>
                <w:rFonts w:ascii="宋体"/>
                <w:sz w:val="24"/>
              </w:rPr>
            </w:pPr>
            <w:r>
              <w:rPr>
                <w:rFonts w:hint="eastAsia" w:ascii="宋体" w:hAnsi="宋体"/>
                <w:sz w:val="24"/>
              </w:rPr>
              <w:t>主要服务内容</w:t>
            </w:r>
          </w:p>
        </w:tc>
        <w:tc>
          <w:tcPr>
            <w:tcW w:w="7176"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598" w:type="dxa"/>
            <w:vAlign w:val="center"/>
          </w:tcPr>
          <w:p>
            <w:pPr>
              <w:rPr>
                <w:rFonts w:ascii="宋体"/>
                <w:sz w:val="24"/>
              </w:rPr>
            </w:pPr>
            <w:r>
              <w:rPr>
                <w:rFonts w:ascii="宋体" w:hAnsi="宋体"/>
                <w:sz w:val="24"/>
              </w:rPr>
              <w:t>2</w:t>
            </w:r>
          </w:p>
        </w:tc>
        <w:tc>
          <w:tcPr>
            <w:tcW w:w="1981" w:type="dxa"/>
            <w:vAlign w:val="center"/>
          </w:tcPr>
          <w:p>
            <w:pPr>
              <w:rPr>
                <w:rFonts w:ascii="宋体"/>
                <w:sz w:val="24"/>
              </w:rPr>
            </w:pPr>
            <w:r>
              <w:rPr>
                <w:rFonts w:hint="eastAsia" w:ascii="宋体" w:hAnsi="宋体"/>
                <w:sz w:val="24"/>
              </w:rPr>
              <w:t>服务周期</w:t>
            </w:r>
          </w:p>
        </w:tc>
        <w:tc>
          <w:tcPr>
            <w:tcW w:w="7176"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598" w:type="dxa"/>
            <w:vAlign w:val="center"/>
          </w:tcPr>
          <w:p>
            <w:pPr>
              <w:rPr>
                <w:rFonts w:ascii="宋体"/>
                <w:sz w:val="24"/>
              </w:rPr>
            </w:pPr>
            <w:r>
              <w:rPr>
                <w:rFonts w:ascii="宋体" w:hAnsi="宋体"/>
                <w:sz w:val="24"/>
              </w:rPr>
              <w:t>3</w:t>
            </w:r>
          </w:p>
        </w:tc>
        <w:tc>
          <w:tcPr>
            <w:tcW w:w="1981" w:type="dxa"/>
            <w:vAlign w:val="center"/>
          </w:tcPr>
          <w:p>
            <w:pPr>
              <w:rPr>
                <w:rFonts w:ascii="宋体"/>
                <w:sz w:val="24"/>
              </w:rPr>
            </w:pPr>
            <w:r>
              <w:rPr>
                <w:rFonts w:hint="eastAsia" w:ascii="宋体" w:hAnsi="宋体"/>
                <w:sz w:val="24"/>
              </w:rPr>
              <w:t>付款方式</w:t>
            </w:r>
          </w:p>
        </w:tc>
        <w:tc>
          <w:tcPr>
            <w:tcW w:w="7176"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755" w:type="dxa"/>
            <w:gridSpan w:val="3"/>
            <w:vAlign w:val="center"/>
          </w:tcPr>
          <w:p>
            <w:pPr>
              <w:rPr>
                <w:rFonts w:ascii="宋体"/>
                <w:b/>
                <w:sz w:val="24"/>
              </w:rPr>
            </w:pPr>
            <w:r>
              <w:rPr>
                <w:rFonts w:hint="eastAsia" w:ascii="宋体" w:hAnsi="宋体"/>
                <w:b/>
                <w:sz w:val="24"/>
              </w:rPr>
              <w:t>二、服务报价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598" w:type="dxa"/>
            <w:vAlign w:val="center"/>
          </w:tcPr>
          <w:p>
            <w:pPr>
              <w:rPr>
                <w:rFonts w:ascii="宋体"/>
                <w:sz w:val="24"/>
              </w:rPr>
            </w:pPr>
            <w:r>
              <w:rPr>
                <w:rFonts w:ascii="宋体" w:hAnsi="宋体"/>
                <w:sz w:val="24"/>
              </w:rPr>
              <w:t>1</w:t>
            </w:r>
          </w:p>
        </w:tc>
        <w:tc>
          <w:tcPr>
            <w:tcW w:w="1981" w:type="dxa"/>
            <w:vAlign w:val="center"/>
          </w:tcPr>
          <w:p>
            <w:pPr>
              <w:rPr>
                <w:rFonts w:ascii="宋体"/>
                <w:sz w:val="24"/>
              </w:rPr>
            </w:pPr>
            <w:r>
              <w:rPr>
                <w:rFonts w:hint="eastAsia" w:ascii="宋体" w:hAnsi="宋体"/>
                <w:sz w:val="24"/>
              </w:rPr>
              <w:t>投标总报价</w:t>
            </w:r>
          </w:p>
        </w:tc>
        <w:tc>
          <w:tcPr>
            <w:tcW w:w="7176" w:type="dxa"/>
            <w:vAlign w:val="center"/>
          </w:tcPr>
          <w:p>
            <w:pPr>
              <w:widowControl/>
              <w:spacing w:line="520" w:lineRule="exact"/>
              <w:rPr>
                <w:rFonts w:asci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人民币</w:t>
            </w:r>
            <w:r>
              <w:rPr>
                <w:rFonts w:ascii="宋体" w:hAnsi="宋体" w:cs="宋体"/>
                <w:kern w:val="0"/>
                <w:sz w:val="24"/>
                <w:u w:val="single"/>
              </w:rPr>
              <w:t xml:space="preserve">                  </w:t>
            </w:r>
          </w:p>
          <w:p>
            <w:pPr>
              <w:rPr>
                <w:rFonts w:ascii="宋体"/>
                <w:sz w:val="24"/>
              </w:rPr>
            </w:pPr>
            <w:r>
              <w:rPr>
                <w:rFonts w:hint="eastAsia" w:ascii="宋体" w:hAnsi="宋体" w:cs="宋体"/>
                <w:kern w:val="0"/>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598" w:type="dxa"/>
            <w:vAlign w:val="center"/>
          </w:tcPr>
          <w:p>
            <w:pPr>
              <w:rPr>
                <w:rFonts w:ascii="宋体"/>
                <w:sz w:val="24"/>
              </w:rPr>
            </w:pPr>
            <w:r>
              <w:rPr>
                <w:rFonts w:ascii="宋体" w:hAnsi="宋体"/>
                <w:sz w:val="24"/>
              </w:rPr>
              <w:t>2</w:t>
            </w:r>
          </w:p>
        </w:tc>
        <w:tc>
          <w:tcPr>
            <w:tcW w:w="1981" w:type="dxa"/>
            <w:vAlign w:val="center"/>
          </w:tcPr>
          <w:p>
            <w:pPr>
              <w:rPr>
                <w:rFonts w:ascii="宋体"/>
                <w:sz w:val="24"/>
              </w:rPr>
            </w:pPr>
            <w:r>
              <w:rPr>
                <w:rFonts w:hint="eastAsia" w:ascii="宋体" w:hAnsi="宋体"/>
                <w:sz w:val="24"/>
              </w:rPr>
              <w:t>备注</w:t>
            </w:r>
          </w:p>
        </w:tc>
        <w:tc>
          <w:tcPr>
            <w:tcW w:w="7176" w:type="dxa"/>
            <w:vAlign w:val="center"/>
          </w:tcPr>
          <w:p>
            <w:pPr>
              <w:rPr>
                <w:rFonts w:ascii="宋体"/>
                <w:sz w:val="24"/>
              </w:rPr>
            </w:pPr>
          </w:p>
        </w:tc>
      </w:tr>
    </w:tbl>
    <w:p>
      <w:pPr>
        <w:spacing w:line="700" w:lineRule="exact"/>
        <w:rPr>
          <w:rFonts w:ascii="宋体"/>
          <w:b/>
          <w:sz w:val="24"/>
        </w:rPr>
      </w:pPr>
      <w:r>
        <w:rPr>
          <w:rFonts w:hint="eastAsia" w:ascii="宋体" w:hAnsi="宋体"/>
          <w:b/>
          <w:sz w:val="24"/>
        </w:rPr>
        <w:t>投标人（签章）：</w:t>
      </w:r>
      <w:r>
        <w:rPr>
          <w:rFonts w:ascii="宋体" w:hAnsi="宋体"/>
          <w:b/>
          <w:sz w:val="24"/>
        </w:rPr>
        <w:t xml:space="preserve">                                </w:t>
      </w:r>
      <w:r>
        <w:rPr>
          <w:rFonts w:hint="eastAsia" w:ascii="宋体" w:hAnsi="宋体"/>
          <w:b/>
          <w:sz w:val="24"/>
        </w:rPr>
        <w:t>授权代表（签字）：</w:t>
      </w:r>
    </w:p>
    <w:p>
      <w:pPr>
        <w:spacing w:line="700" w:lineRule="exact"/>
        <w:rPr>
          <w:rFonts w:ascii="宋体"/>
          <w:b/>
          <w:sz w:val="24"/>
        </w:rPr>
      </w:pPr>
      <w:r>
        <w:rPr>
          <w:rFonts w:hint="eastAsia" w:ascii="宋体" w:hAnsi="宋体"/>
          <w:b/>
          <w:sz w:val="24"/>
        </w:rPr>
        <w:t>联系方式：</w:t>
      </w:r>
      <w:r>
        <w:rPr>
          <w:rFonts w:ascii="宋体" w:hAnsi="宋体"/>
          <w:b/>
          <w:sz w:val="24"/>
        </w:rPr>
        <w:t xml:space="preserve">                                      </w:t>
      </w:r>
      <w:r>
        <w:rPr>
          <w:rFonts w:hint="eastAsia" w:ascii="宋体" w:hAnsi="宋体"/>
          <w:b/>
          <w:sz w:val="24"/>
        </w:rPr>
        <w:t>二〇二〇年</w:t>
      </w:r>
      <w:r>
        <w:rPr>
          <w:rFonts w:ascii="宋体" w:hAnsi="宋体"/>
          <w:b/>
          <w:sz w:val="24"/>
        </w:rPr>
        <w:t xml:space="preserve">   </w:t>
      </w:r>
      <w:r>
        <w:rPr>
          <w:rFonts w:hint="eastAsia" w:ascii="宋体" w:hAnsi="宋体"/>
          <w:b/>
          <w:sz w:val="24"/>
        </w:rPr>
        <w:t>月</w:t>
      </w:r>
      <w:r>
        <w:rPr>
          <w:rFonts w:ascii="宋体" w:hAnsi="宋体"/>
          <w:b/>
          <w:sz w:val="24"/>
        </w:rPr>
        <w:t xml:space="preserve">   </w:t>
      </w:r>
      <w:r>
        <w:rPr>
          <w:rFonts w:hint="eastAsia" w:ascii="宋体" w:hAnsi="宋体"/>
          <w:b/>
          <w:sz w:val="24"/>
        </w:rPr>
        <w:t>日</w:t>
      </w:r>
    </w:p>
    <w:p>
      <w:pPr>
        <w:spacing w:line="600" w:lineRule="exact"/>
        <w:rPr>
          <w:rFonts w:ascii="宋体"/>
          <w:b/>
          <w:sz w:val="24"/>
        </w:rPr>
      </w:pPr>
      <w:r>
        <w:rPr>
          <w:rFonts w:hint="eastAsia" w:ascii="宋体" w:hAnsi="宋体"/>
          <w:b/>
          <w:sz w:val="24"/>
        </w:rPr>
        <w:t>注：招标人不建议投标人采用总价优惠或以总价百分比优惠的方式进行投标报价，其优惠须直接计算并体现在投标报价中。</w:t>
      </w:r>
    </w:p>
    <w:p>
      <w:pPr>
        <w:spacing w:line="600" w:lineRule="exact"/>
        <w:rPr>
          <w:rFonts w:ascii="宋体"/>
          <w:b/>
          <w:sz w:val="24"/>
        </w:rPr>
      </w:pPr>
    </w:p>
    <w:p>
      <w:pPr>
        <w:spacing w:line="600" w:lineRule="exact"/>
        <w:rPr>
          <w:rFonts w:ascii="宋体"/>
          <w:b/>
          <w:sz w:val="24"/>
        </w:rPr>
      </w:pPr>
    </w:p>
    <w:p>
      <w:pPr>
        <w:jc w:val="center"/>
        <w:rPr>
          <w:b/>
          <w:sz w:val="28"/>
          <w:szCs w:val="28"/>
        </w:rPr>
      </w:pPr>
      <w:r>
        <w:rPr>
          <w:rFonts w:hint="eastAsia"/>
          <w:b/>
          <w:sz w:val="28"/>
          <w:szCs w:val="28"/>
        </w:rPr>
        <w:t>三、投标承诺事项</w:t>
      </w:r>
    </w:p>
    <w:p>
      <w:pPr>
        <w:widowControl/>
        <w:spacing w:line="460" w:lineRule="exact"/>
        <w:ind w:firstLine="354" w:firstLineChars="147"/>
        <w:jc w:val="left"/>
        <w:rPr>
          <w:rFonts w:ascii="宋体" w:hAnsi="宋体" w:cs="宋体"/>
          <w:b/>
          <w:kern w:val="0"/>
          <w:sz w:val="24"/>
        </w:rPr>
      </w:pPr>
      <w:r>
        <w:rPr>
          <w:rFonts w:hint="eastAsia" w:ascii="宋体" w:hAnsi="宋体" w:cs="宋体"/>
          <w:b/>
          <w:kern w:val="0"/>
          <w:sz w:val="24"/>
        </w:rPr>
        <w:t>内容包括如下：</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1．对工期的承诺；</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2．对工程质量、安全施工及保修服务的承诺；</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3．投标人的其他承诺</w:t>
      </w:r>
    </w:p>
    <w:p>
      <w:pPr>
        <w:rPr>
          <w:rFonts w:ascii="宋体"/>
          <w:sz w:val="28"/>
          <w:szCs w:val="28"/>
        </w:rPr>
      </w:pPr>
    </w:p>
    <w:p>
      <w:pPr>
        <w:jc w:val="center"/>
        <w:rPr>
          <w:rFonts w:ascii="宋体"/>
          <w:b/>
          <w:sz w:val="28"/>
          <w:szCs w:val="28"/>
        </w:rPr>
      </w:pPr>
      <w:r>
        <w:rPr>
          <w:rFonts w:hint="eastAsia" w:ascii="宋体"/>
          <w:b/>
          <w:sz w:val="28"/>
          <w:szCs w:val="28"/>
        </w:rPr>
        <w:t>四、工程量清单报价表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7" w:type="dxa"/>
            <w:vAlign w:val="center"/>
          </w:tcPr>
          <w:p>
            <w:pPr>
              <w:jc w:val="center"/>
              <w:rPr>
                <w:rFonts w:ascii="宋体" w:hAnsi="宋体" w:cs="宋体"/>
                <w:kern w:val="0"/>
                <w:sz w:val="24"/>
              </w:rPr>
            </w:pPr>
            <w:r>
              <w:rPr>
                <w:rFonts w:hint="eastAsia" w:ascii="宋体" w:hAnsi="宋体" w:cs="宋体"/>
                <w:kern w:val="0"/>
                <w:sz w:val="24"/>
              </w:rPr>
              <w:t>序号</w:t>
            </w:r>
          </w:p>
        </w:tc>
        <w:tc>
          <w:tcPr>
            <w:tcW w:w="1217" w:type="dxa"/>
            <w:vAlign w:val="center"/>
          </w:tcPr>
          <w:p>
            <w:pPr>
              <w:jc w:val="center"/>
              <w:rPr>
                <w:rFonts w:ascii="宋体" w:hAnsi="宋体" w:cs="宋体"/>
                <w:kern w:val="0"/>
                <w:sz w:val="24"/>
              </w:rPr>
            </w:pPr>
            <w:r>
              <w:rPr>
                <w:rFonts w:hint="eastAsia" w:ascii="宋体" w:hAnsi="宋体" w:cs="宋体"/>
                <w:kern w:val="0"/>
                <w:sz w:val="24"/>
              </w:rPr>
              <w:t>货物名称</w:t>
            </w:r>
          </w:p>
        </w:tc>
        <w:tc>
          <w:tcPr>
            <w:tcW w:w="1217" w:type="dxa"/>
            <w:vAlign w:val="center"/>
          </w:tcPr>
          <w:p>
            <w:pPr>
              <w:jc w:val="center"/>
              <w:rPr>
                <w:rFonts w:ascii="宋体" w:hAnsi="宋体" w:cs="宋体"/>
                <w:kern w:val="0"/>
                <w:sz w:val="24"/>
              </w:rPr>
            </w:pPr>
            <w:r>
              <w:rPr>
                <w:rFonts w:hint="eastAsia" w:ascii="宋体" w:hAnsi="宋体" w:cs="宋体"/>
                <w:kern w:val="0"/>
                <w:sz w:val="24"/>
              </w:rPr>
              <w:t>品牌型号</w:t>
            </w:r>
          </w:p>
        </w:tc>
        <w:tc>
          <w:tcPr>
            <w:tcW w:w="1217" w:type="dxa"/>
            <w:vAlign w:val="center"/>
          </w:tcPr>
          <w:p>
            <w:pPr>
              <w:jc w:val="center"/>
              <w:rPr>
                <w:rFonts w:ascii="宋体" w:hAnsi="宋体" w:cs="宋体"/>
                <w:kern w:val="0"/>
                <w:sz w:val="24"/>
              </w:rPr>
            </w:pPr>
            <w:r>
              <w:rPr>
                <w:rFonts w:hint="eastAsia" w:ascii="宋体" w:hAnsi="宋体" w:cs="宋体"/>
                <w:kern w:val="0"/>
                <w:sz w:val="24"/>
              </w:rPr>
              <w:t>单位</w:t>
            </w:r>
          </w:p>
        </w:tc>
        <w:tc>
          <w:tcPr>
            <w:tcW w:w="1218" w:type="dxa"/>
            <w:vAlign w:val="center"/>
          </w:tcPr>
          <w:p>
            <w:pPr>
              <w:jc w:val="center"/>
              <w:rPr>
                <w:rFonts w:ascii="宋体" w:hAnsi="宋体" w:cs="宋体"/>
                <w:kern w:val="0"/>
                <w:sz w:val="24"/>
              </w:rPr>
            </w:pPr>
            <w:r>
              <w:rPr>
                <w:rFonts w:hint="eastAsia" w:ascii="宋体" w:hAnsi="宋体" w:cs="宋体"/>
                <w:kern w:val="0"/>
                <w:sz w:val="24"/>
              </w:rPr>
              <w:t>数量</w:t>
            </w:r>
          </w:p>
        </w:tc>
        <w:tc>
          <w:tcPr>
            <w:tcW w:w="1218" w:type="dxa"/>
            <w:vAlign w:val="center"/>
          </w:tcPr>
          <w:p>
            <w:pPr>
              <w:jc w:val="center"/>
              <w:rPr>
                <w:rFonts w:ascii="宋体" w:hAnsi="宋体" w:cs="宋体"/>
                <w:kern w:val="0"/>
                <w:sz w:val="24"/>
              </w:rPr>
            </w:pPr>
            <w:r>
              <w:rPr>
                <w:rFonts w:hint="eastAsia" w:ascii="宋体" w:hAnsi="宋体" w:cs="宋体"/>
                <w:kern w:val="0"/>
                <w:sz w:val="24"/>
              </w:rPr>
              <w:t>综合单价</w:t>
            </w:r>
          </w:p>
        </w:tc>
        <w:tc>
          <w:tcPr>
            <w:tcW w:w="1218" w:type="dxa"/>
            <w:vAlign w:val="center"/>
          </w:tcPr>
          <w:p>
            <w:pPr>
              <w:jc w:val="center"/>
              <w:rPr>
                <w:rFonts w:ascii="宋体" w:hAnsi="宋体" w:cs="宋体"/>
                <w:kern w:val="0"/>
                <w:sz w:val="24"/>
              </w:rPr>
            </w:pPr>
            <w:r>
              <w:rPr>
                <w:rFonts w:hint="eastAsia" w:ascii="宋体" w:hAnsi="宋体" w:cs="宋体"/>
                <w:kern w:val="0"/>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7" w:type="dxa"/>
            <w:vAlign w:val="center"/>
          </w:tcPr>
          <w:p>
            <w:pPr>
              <w:jc w:val="center"/>
              <w:rPr>
                <w:rFonts w:ascii="宋体" w:hAnsi="宋体" w:cs="宋体"/>
                <w:kern w:val="0"/>
                <w:sz w:val="24"/>
              </w:rPr>
            </w:pPr>
          </w:p>
        </w:tc>
        <w:tc>
          <w:tcPr>
            <w:tcW w:w="1217" w:type="dxa"/>
            <w:vAlign w:val="center"/>
          </w:tcPr>
          <w:p>
            <w:pPr>
              <w:jc w:val="center"/>
              <w:rPr>
                <w:rFonts w:ascii="宋体" w:hAnsi="宋体" w:cs="宋体"/>
                <w:kern w:val="0"/>
                <w:sz w:val="24"/>
              </w:rPr>
            </w:pPr>
          </w:p>
        </w:tc>
        <w:tc>
          <w:tcPr>
            <w:tcW w:w="1217" w:type="dxa"/>
            <w:vAlign w:val="center"/>
          </w:tcPr>
          <w:p>
            <w:pPr>
              <w:jc w:val="center"/>
              <w:rPr>
                <w:rFonts w:ascii="宋体" w:hAnsi="宋体" w:cs="宋体"/>
                <w:kern w:val="0"/>
                <w:sz w:val="24"/>
              </w:rPr>
            </w:pPr>
          </w:p>
        </w:tc>
        <w:tc>
          <w:tcPr>
            <w:tcW w:w="1217" w:type="dxa"/>
            <w:vAlign w:val="center"/>
          </w:tcPr>
          <w:p>
            <w:pPr>
              <w:jc w:val="center"/>
              <w:rPr>
                <w:rFonts w:ascii="宋体" w:hAnsi="宋体" w:cs="宋体"/>
                <w:kern w:val="0"/>
                <w:sz w:val="24"/>
              </w:rPr>
            </w:pPr>
          </w:p>
        </w:tc>
        <w:tc>
          <w:tcPr>
            <w:tcW w:w="1218" w:type="dxa"/>
            <w:vAlign w:val="center"/>
          </w:tcPr>
          <w:p>
            <w:pPr>
              <w:jc w:val="center"/>
              <w:rPr>
                <w:rFonts w:ascii="宋体" w:hAnsi="宋体" w:cs="宋体"/>
                <w:kern w:val="0"/>
                <w:sz w:val="24"/>
              </w:rPr>
            </w:pPr>
          </w:p>
        </w:tc>
        <w:tc>
          <w:tcPr>
            <w:tcW w:w="1218" w:type="dxa"/>
            <w:vAlign w:val="center"/>
          </w:tcPr>
          <w:p>
            <w:pPr>
              <w:jc w:val="center"/>
              <w:rPr>
                <w:rFonts w:ascii="宋体" w:hAnsi="宋体" w:cs="宋体"/>
                <w:kern w:val="0"/>
                <w:sz w:val="24"/>
              </w:rPr>
            </w:pPr>
          </w:p>
        </w:tc>
        <w:tc>
          <w:tcPr>
            <w:tcW w:w="1218" w:type="dxa"/>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7" w:type="dxa"/>
            <w:vAlign w:val="center"/>
          </w:tcPr>
          <w:p>
            <w:pPr>
              <w:jc w:val="center"/>
              <w:rPr>
                <w:rFonts w:ascii="宋体" w:hAnsi="宋体" w:cs="宋体"/>
                <w:kern w:val="0"/>
                <w:sz w:val="24"/>
              </w:rPr>
            </w:pPr>
          </w:p>
        </w:tc>
        <w:tc>
          <w:tcPr>
            <w:tcW w:w="1217" w:type="dxa"/>
            <w:vAlign w:val="center"/>
          </w:tcPr>
          <w:p>
            <w:pPr>
              <w:jc w:val="center"/>
              <w:rPr>
                <w:rFonts w:ascii="宋体" w:hAnsi="宋体" w:cs="宋体"/>
                <w:kern w:val="0"/>
                <w:sz w:val="24"/>
              </w:rPr>
            </w:pPr>
          </w:p>
        </w:tc>
        <w:tc>
          <w:tcPr>
            <w:tcW w:w="1217" w:type="dxa"/>
            <w:vAlign w:val="center"/>
          </w:tcPr>
          <w:p>
            <w:pPr>
              <w:jc w:val="center"/>
              <w:rPr>
                <w:rFonts w:ascii="宋体" w:hAnsi="宋体" w:cs="宋体"/>
                <w:kern w:val="0"/>
                <w:sz w:val="24"/>
              </w:rPr>
            </w:pPr>
          </w:p>
        </w:tc>
        <w:tc>
          <w:tcPr>
            <w:tcW w:w="1217" w:type="dxa"/>
            <w:vAlign w:val="center"/>
          </w:tcPr>
          <w:p>
            <w:pPr>
              <w:jc w:val="center"/>
              <w:rPr>
                <w:rFonts w:ascii="宋体" w:hAnsi="宋体" w:cs="宋体"/>
                <w:kern w:val="0"/>
                <w:sz w:val="24"/>
              </w:rPr>
            </w:pPr>
          </w:p>
        </w:tc>
        <w:tc>
          <w:tcPr>
            <w:tcW w:w="1218" w:type="dxa"/>
            <w:vAlign w:val="center"/>
          </w:tcPr>
          <w:p>
            <w:pPr>
              <w:jc w:val="center"/>
              <w:rPr>
                <w:rFonts w:ascii="宋体" w:hAnsi="宋体" w:cs="宋体"/>
                <w:kern w:val="0"/>
                <w:sz w:val="24"/>
              </w:rPr>
            </w:pPr>
          </w:p>
        </w:tc>
        <w:tc>
          <w:tcPr>
            <w:tcW w:w="1218" w:type="dxa"/>
            <w:vAlign w:val="center"/>
          </w:tcPr>
          <w:p>
            <w:pPr>
              <w:jc w:val="center"/>
              <w:rPr>
                <w:rFonts w:ascii="宋体" w:hAnsi="宋体" w:cs="宋体"/>
                <w:kern w:val="0"/>
                <w:sz w:val="24"/>
              </w:rPr>
            </w:pPr>
          </w:p>
        </w:tc>
        <w:tc>
          <w:tcPr>
            <w:tcW w:w="1218" w:type="dxa"/>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7" w:type="dxa"/>
            <w:vAlign w:val="center"/>
          </w:tcPr>
          <w:p>
            <w:pPr>
              <w:jc w:val="center"/>
              <w:rPr>
                <w:rFonts w:ascii="宋体" w:hAnsi="宋体" w:cs="宋体"/>
                <w:kern w:val="0"/>
                <w:sz w:val="24"/>
              </w:rPr>
            </w:pPr>
          </w:p>
        </w:tc>
        <w:tc>
          <w:tcPr>
            <w:tcW w:w="1217" w:type="dxa"/>
            <w:vAlign w:val="center"/>
          </w:tcPr>
          <w:p>
            <w:pPr>
              <w:jc w:val="center"/>
              <w:rPr>
                <w:rFonts w:ascii="宋体" w:hAnsi="宋体" w:cs="宋体"/>
                <w:kern w:val="0"/>
                <w:sz w:val="24"/>
              </w:rPr>
            </w:pPr>
          </w:p>
        </w:tc>
        <w:tc>
          <w:tcPr>
            <w:tcW w:w="1217" w:type="dxa"/>
            <w:vAlign w:val="center"/>
          </w:tcPr>
          <w:p>
            <w:pPr>
              <w:jc w:val="center"/>
              <w:rPr>
                <w:rFonts w:ascii="宋体" w:hAnsi="宋体" w:cs="宋体"/>
                <w:kern w:val="0"/>
                <w:sz w:val="24"/>
              </w:rPr>
            </w:pPr>
          </w:p>
        </w:tc>
        <w:tc>
          <w:tcPr>
            <w:tcW w:w="1217" w:type="dxa"/>
            <w:vAlign w:val="center"/>
          </w:tcPr>
          <w:p>
            <w:pPr>
              <w:jc w:val="center"/>
              <w:rPr>
                <w:rFonts w:ascii="宋体" w:hAnsi="宋体" w:cs="宋体"/>
                <w:kern w:val="0"/>
                <w:sz w:val="24"/>
              </w:rPr>
            </w:pPr>
          </w:p>
        </w:tc>
        <w:tc>
          <w:tcPr>
            <w:tcW w:w="1218" w:type="dxa"/>
            <w:vAlign w:val="center"/>
          </w:tcPr>
          <w:p>
            <w:pPr>
              <w:jc w:val="center"/>
              <w:rPr>
                <w:rFonts w:ascii="宋体" w:hAnsi="宋体" w:cs="宋体"/>
                <w:kern w:val="0"/>
                <w:sz w:val="24"/>
              </w:rPr>
            </w:pPr>
          </w:p>
        </w:tc>
        <w:tc>
          <w:tcPr>
            <w:tcW w:w="1218" w:type="dxa"/>
            <w:vAlign w:val="center"/>
          </w:tcPr>
          <w:p>
            <w:pPr>
              <w:jc w:val="center"/>
              <w:rPr>
                <w:rFonts w:ascii="宋体" w:hAnsi="宋体" w:cs="宋体"/>
                <w:kern w:val="0"/>
                <w:sz w:val="24"/>
              </w:rPr>
            </w:pPr>
          </w:p>
        </w:tc>
        <w:tc>
          <w:tcPr>
            <w:tcW w:w="1218" w:type="dxa"/>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7" w:type="dxa"/>
            <w:vAlign w:val="center"/>
          </w:tcPr>
          <w:p>
            <w:pPr>
              <w:jc w:val="center"/>
              <w:rPr>
                <w:rFonts w:ascii="宋体" w:hAnsi="宋体" w:cs="宋体"/>
                <w:kern w:val="0"/>
                <w:sz w:val="24"/>
              </w:rPr>
            </w:pPr>
          </w:p>
        </w:tc>
        <w:tc>
          <w:tcPr>
            <w:tcW w:w="1217" w:type="dxa"/>
            <w:vAlign w:val="center"/>
          </w:tcPr>
          <w:p>
            <w:pPr>
              <w:jc w:val="center"/>
              <w:rPr>
                <w:rFonts w:ascii="宋体" w:hAnsi="宋体" w:cs="宋体"/>
                <w:kern w:val="0"/>
                <w:sz w:val="24"/>
              </w:rPr>
            </w:pPr>
          </w:p>
        </w:tc>
        <w:tc>
          <w:tcPr>
            <w:tcW w:w="1217" w:type="dxa"/>
            <w:vAlign w:val="center"/>
          </w:tcPr>
          <w:p>
            <w:pPr>
              <w:jc w:val="center"/>
              <w:rPr>
                <w:rFonts w:ascii="宋体" w:hAnsi="宋体" w:cs="宋体"/>
                <w:kern w:val="0"/>
                <w:sz w:val="24"/>
              </w:rPr>
            </w:pPr>
          </w:p>
        </w:tc>
        <w:tc>
          <w:tcPr>
            <w:tcW w:w="1217" w:type="dxa"/>
            <w:vAlign w:val="center"/>
          </w:tcPr>
          <w:p>
            <w:pPr>
              <w:jc w:val="center"/>
              <w:rPr>
                <w:rFonts w:ascii="宋体" w:hAnsi="宋体" w:cs="宋体"/>
                <w:kern w:val="0"/>
                <w:sz w:val="24"/>
              </w:rPr>
            </w:pPr>
          </w:p>
        </w:tc>
        <w:tc>
          <w:tcPr>
            <w:tcW w:w="1218" w:type="dxa"/>
            <w:vAlign w:val="center"/>
          </w:tcPr>
          <w:p>
            <w:pPr>
              <w:jc w:val="center"/>
              <w:rPr>
                <w:rFonts w:ascii="宋体" w:hAnsi="宋体" w:cs="宋体"/>
                <w:kern w:val="0"/>
                <w:sz w:val="24"/>
              </w:rPr>
            </w:pPr>
          </w:p>
        </w:tc>
        <w:tc>
          <w:tcPr>
            <w:tcW w:w="1218" w:type="dxa"/>
            <w:vAlign w:val="center"/>
          </w:tcPr>
          <w:p>
            <w:pPr>
              <w:jc w:val="center"/>
              <w:rPr>
                <w:rFonts w:ascii="宋体" w:hAnsi="宋体" w:cs="宋体"/>
                <w:kern w:val="0"/>
                <w:sz w:val="24"/>
              </w:rPr>
            </w:pPr>
          </w:p>
        </w:tc>
        <w:tc>
          <w:tcPr>
            <w:tcW w:w="1218" w:type="dxa"/>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7" w:type="dxa"/>
            <w:vAlign w:val="center"/>
          </w:tcPr>
          <w:p>
            <w:pPr>
              <w:jc w:val="center"/>
              <w:rPr>
                <w:rFonts w:ascii="宋体" w:hAnsi="宋体" w:cs="宋体"/>
                <w:kern w:val="0"/>
                <w:sz w:val="24"/>
              </w:rPr>
            </w:pPr>
          </w:p>
        </w:tc>
        <w:tc>
          <w:tcPr>
            <w:tcW w:w="1217" w:type="dxa"/>
            <w:vAlign w:val="center"/>
          </w:tcPr>
          <w:p>
            <w:pPr>
              <w:jc w:val="center"/>
              <w:rPr>
                <w:rFonts w:ascii="宋体" w:hAnsi="宋体" w:cs="宋体"/>
                <w:kern w:val="0"/>
                <w:sz w:val="24"/>
              </w:rPr>
            </w:pPr>
          </w:p>
        </w:tc>
        <w:tc>
          <w:tcPr>
            <w:tcW w:w="1217" w:type="dxa"/>
            <w:vAlign w:val="center"/>
          </w:tcPr>
          <w:p>
            <w:pPr>
              <w:jc w:val="center"/>
              <w:rPr>
                <w:rFonts w:ascii="宋体" w:hAnsi="宋体" w:cs="宋体"/>
                <w:kern w:val="0"/>
                <w:sz w:val="24"/>
              </w:rPr>
            </w:pPr>
          </w:p>
        </w:tc>
        <w:tc>
          <w:tcPr>
            <w:tcW w:w="1217" w:type="dxa"/>
            <w:vAlign w:val="center"/>
          </w:tcPr>
          <w:p>
            <w:pPr>
              <w:jc w:val="center"/>
              <w:rPr>
                <w:rFonts w:ascii="宋体" w:hAnsi="宋体" w:cs="宋体"/>
                <w:kern w:val="0"/>
                <w:sz w:val="24"/>
              </w:rPr>
            </w:pPr>
          </w:p>
        </w:tc>
        <w:tc>
          <w:tcPr>
            <w:tcW w:w="1218" w:type="dxa"/>
            <w:vAlign w:val="center"/>
          </w:tcPr>
          <w:p>
            <w:pPr>
              <w:jc w:val="center"/>
              <w:rPr>
                <w:rFonts w:ascii="宋体" w:hAnsi="宋体" w:cs="宋体"/>
                <w:kern w:val="0"/>
                <w:sz w:val="24"/>
              </w:rPr>
            </w:pPr>
          </w:p>
        </w:tc>
        <w:tc>
          <w:tcPr>
            <w:tcW w:w="1218" w:type="dxa"/>
            <w:vAlign w:val="center"/>
          </w:tcPr>
          <w:p>
            <w:pPr>
              <w:jc w:val="center"/>
              <w:rPr>
                <w:rFonts w:ascii="宋体" w:hAnsi="宋体" w:cs="宋体"/>
                <w:kern w:val="0"/>
                <w:sz w:val="24"/>
              </w:rPr>
            </w:pPr>
          </w:p>
        </w:tc>
        <w:tc>
          <w:tcPr>
            <w:tcW w:w="1218" w:type="dxa"/>
            <w:vAlign w:val="center"/>
          </w:tcPr>
          <w:p>
            <w:pPr>
              <w:jc w:val="center"/>
              <w:rPr>
                <w:rFonts w:ascii="宋体" w:hAnsi="宋体" w:cs="宋体"/>
                <w:kern w:val="0"/>
                <w:sz w:val="24"/>
              </w:rPr>
            </w:pPr>
          </w:p>
        </w:tc>
      </w:tr>
    </w:tbl>
    <w:p>
      <w:pPr>
        <w:rPr>
          <w:rFonts w:ascii="宋体"/>
          <w:sz w:val="28"/>
          <w:szCs w:val="28"/>
        </w:rPr>
      </w:pPr>
    </w:p>
    <w:p>
      <w:pPr>
        <w:spacing w:line="480" w:lineRule="auto"/>
        <w:jc w:val="center"/>
        <w:rPr>
          <w:rFonts w:ascii="宋体"/>
          <w:b/>
          <w:sz w:val="28"/>
          <w:szCs w:val="28"/>
        </w:rPr>
      </w:pPr>
      <w:r>
        <w:rPr>
          <w:rFonts w:hint="eastAsia" w:ascii="宋体"/>
          <w:b/>
          <w:sz w:val="28"/>
          <w:szCs w:val="28"/>
        </w:rPr>
        <w:t>五、产品（设备）参数偏离表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227"/>
        <w:gridCol w:w="1276"/>
        <w:gridCol w:w="1280"/>
        <w:gridCol w:w="1275"/>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36" w:type="dxa"/>
            <w:vAlign w:val="center"/>
          </w:tcPr>
          <w:p>
            <w:pPr>
              <w:jc w:val="center"/>
              <w:rPr>
                <w:rFonts w:ascii="宋体" w:hAnsi="宋体" w:cs="宋体"/>
                <w:kern w:val="0"/>
                <w:sz w:val="24"/>
              </w:rPr>
            </w:pPr>
            <w:r>
              <w:rPr>
                <w:rFonts w:hint="eastAsia" w:ascii="宋体" w:hAnsi="宋体" w:cs="宋体"/>
                <w:kern w:val="0"/>
                <w:sz w:val="24"/>
              </w:rPr>
              <w:t>序号</w:t>
            </w:r>
          </w:p>
        </w:tc>
        <w:tc>
          <w:tcPr>
            <w:tcW w:w="1227" w:type="dxa"/>
            <w:vAlign w:val="center"/>
          </w:tcPr>
          <w:p>
            <w:pPr>
              <w:jc w:val="center"/>
              <w:rPr>
                <w:rFonts w:ascii="宋体" w:hAnsi="宋体" w:cs="宋体"/>
                <w:kern w:val="0"/>
                <w:sz w:val="24"/>
              </w:rPr>
            </w:pPr>
            <w:r>
              <w:rPr>
                <w:rFonts w:hint="eastAsia" w:ascii="宋体" w:hAnsi="宋体" w:cs="宋体"/>
                <w:kern w:val="0"/>
                <w:sz w:val="24"/>
              </w:rPr>
              <w:t>货物名称</w:t>
            </w:r>
          </w:p>
        </w:tc>
        <w:tc>
          <w:tcPr>
            <w:tcW w:w="1276" w:type="dxa"/>
            <w:vAlign w:val="center"/>
          </w:tcPr>
          <w:p>
            <w:pPr>
              <w:jc w:val="center"/>
              <w:rPr>
                <w:rFonts w:ascii="宋体" w:hAnsi="宋体" w:cs="宋体"/>
                <w:kern w:val="0"/>
                <w:sz w:val="24"/>
              </w:rPr>
            </w:pPr>
            <w:r>
              <w:rPr>
                <w:rFonts w:hint="eastAsia" w:ascii="宋体" w:hAnsi="宋体" w:cs="宋体"/>
                <w:kern w:val="0"/>
                <w:sz w:val="24"/>
              </w:rPr>
              <w:t>数量</w:t>
            </w:r>
          </w:p>
        </w:tc>
        <w:tc>
          <w:tcPr>
            <w:tcW w:w="1280" w:type="dxa"/>
            <w:vAlign w:val="center"/>
          </w:tcPr>
          <w:p>
            <w:pPr>
              <w:jc w:val="center"/>
              <w:rPr>
                <w:rFonts w:ascii="宋体" w:hAnsi="宋体" w:cs="宋体"/>
                <w:kern w:val="0"/>
                <w:sz w:val="24"/>
              </w:rPr>
            </w:pPr>
            <w:r>
              <w:rPr>
                <w:rFonts w:hint="eastAsia" w:ascii="宋体" w:hAnsi="宋体" w:cs="宋体"/>
                <w:kern w:val="0"/>
                <w:sz w:val="24"/>
              </w:rPr>
              <w:t>招标文件技术参数</w:t>
            </w:r>
          </w:p>
        </w:tc>
        <w:tc>
          <w:tcPr>
            <w:tcW w:w="1275" w:type="dxa"/>
            <w:vAlign w:val="center"/>
          </w:tcPr>
          <w:p>
            <w:pPr>
              <w:jc w:val="center"/>
              <w:rPr>
                <w:rFonts w:ascii="宋体" w:hAnsi="宋体" w:cs="宋体"/>
                <w:kern w:val="0"/>
                <w:sz w:val="24"/>
              </w:rPr>
            </w:pPr>
            <w:r>
              <w:rPr>
                <w:rFonts w:hint="eastAsia" w:ascii="宋体" w:hAnsi="宋体" w:cs="宋体"/>
                <w:kern w:val="0"/>
                <w:sz w:val="24"/>
              </w:rPr>
              <w:t>报价文件技术参数</w:t>
            </w:r>
          </w:p>
        </w:tc>
        <w:tc>
          <w:tcPr>
            <w:tcW w:w="1134" w:type="dxa"/>
            <w:vAlign w:val="center"/>
          </w:tcPr>
          <w:p>
            <w:pPr>
              <w:jc w:val="center"/>
              <w:rPr>
                <w:rFonts w:ascii="宋体" w:hAnsi="宋体" w:cs="宋体"/>
                <w:kern w:val="0"/>
                <w:sz w:val="24"/>
              </w:rPr>
            </w:pPr>
            <w:r>
              <w:rPr>
                <w:rFonts w:hint="eastAsia" w:ascii="宋体" w:hAnsi="宋体" w:cs="宋体"/>
                <w:kern w:val="0"/>
                <w:sz w:val="24"/>
              </w:rPr>
              <w:t>偏离值</w:t>
            </w:r>
          </w:p>
        </w:tc>
        <w:tc>
          <w:tcPr>
            <w:tcW w:w="851" w:type="dxa"/>
            <w:vAlign w:val="center"/>
          </w:tcPr>
          <w:p>
            <w:pPr>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pPr>
              <w:rPr>
                <w:rFonts w:ascii="宋体"/>
                <w:sz w:val="28"/>
                <w:szCs w:val="28"/>
              </w:rPr>
            </w:pPr>
          </w:p>
        </w:tc>
        <w:tc>
          <w:tcPr>
            <w:tcW w:w="1227" w:type="dxa"/>
          </w:tcPr>
          <w:p>
            <w:pPr>
              <w:rPr>
                <w:rFonts w:ascii="宋体"/>
                <w:sz w:val="28"/>
                <w:szCs w:val="28"/>
              </w:rPr>
            </w:pPr>
          </w:p>
        </w:tc>
        <w:tc>
          <w:tcPr>
            <w:tcW w:w="1276" w:type="dxa"/>
          </w:tcPr>
          <w:p>
            <w:pPr>
              <w:rPr>
                <w:rFonts w:ascii="宋体"/>
                <w:sz w:val="28"/>
                <w:szCs w:val="28"/>
              </w:rPr>
            </w:pPr>
          </w:p>
        </w:tc>
        <w:tc>
          <w:tcPr>
            <w:tcW w:w="1280" w:type="dxa"/>
          </w:tcPr>
          <w:p>
            <w:pPr>
              <w:rPr>
                <w:rFonts w:ascii="宋体"/>
                <w:sz w:val="28"/>
                <w:szCs w:val="28"/>
              </w:rPr>
            </w:pPr>
          </w:p>
        </w:tc>
        <w:tc>
          <w:tcPr>
            <w:tcW w:w="1275" w:type="dxa"/>
          </w:tcPr>
          <w:p>
            <w:pPr>
              <w:rPr>
                <w:rFonts w:ascii="宋体"/>
                <w:sz w:val="28"/>
                <w:szCs w:val="28"/>
              </w:rPr>
            </w:pPr>
          </w:p>
        </w:tc>
        <w:tc>
          <w:tcPr>
            <w:tcW w:w="1134" w:type="dxa"/>
          </w:tcPr>
          <w:p>
            <w:pPr>
              <w:rPr>
                <w:rFonts w:ascii="宋体"/>
                <w:sz w:val="28"/>
                <w:szCs w:val="28"/>
              </w:rPr>
            </w:pPr>
          </w:p>
        </w:tc>
        <w:tc>
          <w:tcPr>
            <w:tcW w:w="851"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36" w:type="dxa"/>
          </w:tcPr>
          <w:p>
            <w:pPr>
              <w:rPr>
                <w:rFonts w:ascii="宋体"/>
                <w:sz w:val="28"/>
                <w:szCs w:val="28"/>
              </w:rPr>
            </w:pPr>
          </w:p>
        </w:tc>
        <w:tc>
          <w:tcPr>
            <w:tcW w:w="1227" w:type="dxa"/>
          </w:tcPr>
          <w:p>
            <w:pPr>
              <w:rPr>
                <w:rFonts w:ascii="宋体"/>
                <w:sz w:val="28"/>
                <w:szCs w:val="28"/>
              </w:rPr>
            </w:pPr>
          </w:p>
        </w:tc>
        <w:tc>
          <w:tcPr>
            <w:tcW w:w="1276" w:type="dxa"/>
          </w:tcPr>
          <w:p>
            <w:pPr>
              <w:rPr>
                <w:rFonts w:ascii="宋体"/>
                <w:sz w:val="28"/>
                <w:szCs w:val="28"/>
              </w:rPr>
            </w:pPr>
          </w:p>
        </w:tc>
        <w:tc>
          <w:tcPr>
            <w:tcW w:w="1280" w:type="dxa"/>
          </w:tcPr>
          <w:p>
            <w:pPr>
              <w:rPr>
                <w:rFonts w:ascii="宋体"/>
                <w:sz w:val="28"/>
                <w:szCs w:val="28"/>
              </w:rPr>
            </w:pPr>
          </w:p>
        </w:tc>
        <w:tc>
          <w:tcPr>
            <w:tcW w:w="1275" w:type="dxa"/>
          </w:tcPr>
          <w:p>
            <w:pPr>
              <w:rPr>
                <w:rFonts w:ascii="宋体"/>
                <w:sz w:val="28"/>
                <w:szCs w:val="28"/>
              </w:rPr>
            </w:pPr>
          </w:p>
        </w:tc>
        <w:tc>
          <w:tcPr>
            <w:tcW w:w="1134" w:type="dxa"/>
          </w:tcPr>
          <w:p>
            <w:pPr>
              <w:rPr>
                <w:rFonts w:ascii="宋体"/>
                <w:sz w:val="28"/>
                <w:szCs w:val="28"/>
              </w:rPr>
            </w:pPr>
          </w:p>
        </w:tc>
        <w:tc>
          <w:tcPr>
            <w:tcW w:w="851"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pPr>
              <w:rPr>
                <w:rFonts w:ascii="宋体"/>
                <w:sz w:val="28"/>
                <w:szCs w:val="28"/>
              </w:rPr>
            </w:pPr>
          </w:p>
        </w:tc>
        <w:tc>
          <w:tcPr>
            <w:tcW w:w="1227" w:type="dxa"/>
          </w:tcPr>
          <w:p>
            <w:pPr>
              <w:rPr>
                <w:rFonts w:ascii="宋体"/>
                <w:sz w:val="28"/>
                <w:szCs w:val="28"/>
              </w:rPr>
            </w:pPr>
          </w:p>
        </w:tc>
        <w:tc>
          <w:tcPr>
            <w:tcW w:w="1276" w:type="dxa"/>
          </w:tcPr>
          <w:p>
            <w:pPr>
              <w:rPr>
                <w:rFonts w:ascii="宋体"/>
                <w:sz w:val="28"/>
                <w:szCs w:val="28"/>
              </w:rPr>
            </w:pPr>
          </w:p>
        </w:tc>
        <w:tc>
          <w:tcPr>
            <w:tcW w:w="1280" w:type="dxa"/>
          </w:tcPr>
          <w:p>
            <w:pPr>
              <w:rPr>
                <w:rFonts w:ascii="宋体"/>
                <w:sz w:val="28"/>
                <w:szCs w:val="28"/>
              </w:rPr>
            </w:pPr>
          </w:p>
        </w:tc>
        <w:tc>
          <w:tcPr>
            <w:tcW w:w="1275" w:type="dxa"/>
          </w:tcPr>
          <w:p>
            <w:pPr>
              <w:rPr>
                <w:rFonts w:ascii="宋体"/>
                <w:sz w:val="28"/>
                <w:szCs w:val="28"/>
              </w:rPr>
            </w:pPr>
          </w:p>
        </w:tc>
        <w:tc>
          <w:tcPr>
            <w:tcW w:w="1134" w:type="dxa"/>
          </w:tcPr>
          <w:p>
            <w:pPr>
              <w:rPr>
                <w:rFonts w:ascii="宋体"/>
                <w:sz w:val="28"/>
                <w:szCs w:val="28"/>
              </w:rPr>
            </w:pPr>
          </w:p>
        </w:tc>
        <w:tc>
          <w:tcPr>
            <w:tcW w:w="851"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pPr>
              <w:rPr>
                <w:rFonts w:ascii="宋体"/>
                <w:sz w:val="28"/>
                <w:szCs w:val="28"/>
              </w:rPr>
            </w:pPr>
          </w:p>
        </w:tc>
        <w:tc>
          <w:tcPr>
            <w:tcW w:w="1227" w:type="dxa"/>
          </w:tcPr>
          <w:p>
            <w:pPr>
              <w:rPr>
                <w:rFonts w:ascii="宋体"/>
                <w:sz w:val="28"/>
                <w:szCs w:val="28"/>
              </w:rPr>
            </w:pPr>
          </w:p>
        </w:tc>
        <w:tc>
          <w:tcPr>
            <w:tcW w:w="1276" w:type="dxa"/>
          </w:tcPr>
          <w:p>
            <w:pPr>
              <w:rPr>
                <w:rFonts w:ascii="宋体"/>
                <w:sz w:val="28"/>
                <w:szCs w:val="28"/>
              </w:rPr>
            </w:pPr>
          </w:p>
        </w:tc>
        <w:tc>
          <w:tcPr>
            <w:tcW w:w="1280" w:type="dxa"/>
          </w:tcPr>
          <w:p>
            <w:pPr>
              <w:rPr>
                <w:rFonts w:ascii="宋体"/>
                <w:sz w:val="28"/>
                <w:szCs w:val="28"/>
              </w:rPr>
            </w:pPr>
          </w:p>
        </w:tc>
        <w:tc>
          <w:tcPr>
            <w:tcW w:w="1275" w:type="dxa"/>
          </w:tcPr>
          <w:p>
            <w:pPr>
              <w:rPr>
                <w:rFonts w:ascii="宋体"/>
                <w:sz w:val="28"/>
                <w:szCs w:val="28"/>
              </w:rPr>
            </w:pPr>
          </w:p>
        </w:tc>
        <w:tc>
          <w:tcPr>
            <w:tcW w:w="1134" w:type="dxa"/>
          </w:tcPr>
          <w:p>
            <w:pPr>
              <w:rPr>
                <w:rFonts w:ascii="宋体"/>
                <w:sz w:val="28"/>
                <w:szCs w:val="28"/>
              </w:rPr>
            </w:pPr>
          </w:p>
        </w:tc>
        <w:tc>
          <w:tcPr>
            <w:tcW w:w="851"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pPr>
              <w:rPr>
                <w:rFonts w:ascii="宋体"/>
                <w:sz w:val="28"/>
                <w:szCs w:val="28"/>
              </w:rPr>
            </w:pPr>
          </w:p>
        </w:tc>
        <w:tc>
          <w:tcPr>
            <w:tcW w:w="1227" w:type="dxa"/>
          </w:tcPr>
          <w:p>
            <w:pPr>
              <w:rPr>
                <w:rFonts w:ascii="宋体"/>
                <w:sz w:val="28"/>
                <w:szCs w:val="28"/>
              </w:rPr>
            </w:pPr>
          </w:p>
        </w:tc>
        <w:tc>
          <w:tcPr>
            <w:tcW w:w="1276" w:type="dxa"/>
          </w:tcPr>
          <w:p>
            <w:pPr>
              <w:rPr>
                <w:rFonts w:ascii="宋体"/>
                <w:sz w:val="28"/>
                <w:szCs w:val="28"/>
              </w:rPr>
            </w:pPr>
          </w:p>
        </w:tc>
        <w:tc>
          <w:tcPr>
            <w:tcW w:w="1280" w:type="dxa"/>
          </w:tcPr>
          <w:p>
            <w:pPr>
              <w:rPr>
                <w:rFonts w:ascii="宋体"/>
                <w:sz w:val="28"/>
                <w:szCs w:val="28"/>
              </w:rPr>
            </w:pPr>
          </w:p>
        </w:tc>
        <w:tc>
          <w:tcPr>
            <w:tcW w:w="1275" w:type="dxa"/>
          </w:tcPr>
          <w:p>
            <w:pPr>
              <w:rPr>
                <w:rFonts w:ascii="宋体"/>
                <w:sz w:val="28"/>
                <w:szCs w:val="28"/>
              </w:rPr>
            </w:pPr>
          </w:p>
        </w:tc>
        <w:tc>
          <w:tcPr>
            <w:tcW w:w="1134" w:type="dxa"/>
          </w:tcPr>
          <w:p>
            <w:pPr>
              <w:rPr>
                <w:rFonts w:ascii="宋体"/>
                <w:sz w:val="28"/>
                <w:szCs w:val="28"/>
              </w:rPr>
            </w:pPr>
          </w:p>
        </w:tc>
        <w:tc>
          <w:tcPr>
            <w:tcW w:w="851" w:type="dxa"/>
          </w:tcPr>
          <w:p>
            <w:pPr>
              <w:rPr>
                <w:rFonts w:ascii="宋体"/>
                <w:sz w:val="28"/>
                <w:szCs w:val="28"/>
              </w:rPr>
            </w:pPr>
          </w:p>
        </w:tc>
      </w:tr>
    </w:tbl>
    <w:p>
      <w:pPr>
        <w:rPr>
          <w:rFonts w:ascii="宋体"/>
          <w:sz w:val="24"/>
          <w:szCs w:val="24"/>
        </w:rPr>
      </w:pPr>
      <w:r>
        <w:rPr>
          <w:rFonts w:hint="eastAsia" w:ascii="宋体"/>
          <w:sz w:val="24"/>
          <w:szCs w:val="24"/>
        </w:rPr>
        <w:t>注：偏离值应填写无偏离、正偏离或负偏离；</w:t>
      </w:r>
    </w:p>
    <w:p>
      <w:pPr>
        <w:pStyle w:val="4"/>
        <w:spacing w:line="360" w:lineRule="auto"/>
        <w:jc w:val="center"/>
        <w:rPr>
          <w:rFonts w:hAnsi="宋体"/>
          <w:sz w:val="28"/>
          <w:szCs w:val="28"/>
        </w:rPr>
      </w:pPr>
      <w:r>
        <w:rPr>
          <w:rFonts w:hint="eastAsia" w:ascii="宋体" w:hAnsi="Times New Roman" w:eastAsia="宋体" w:cs="Times New Roman"/>
          <w:b/>
          <w:bCs w:val="0"/>
          <w:kern w:val="2"/>
          <w:sz w:val="28"/>
          <w:szCs w:val="28"/>
          <w:lang w:val="en-US" w:eastAsia="zh-CN" w:bidi="ar-SA"/>
        </w:rPr>
        <w:t>六、品牌响应表</w:t>
      </w:r>
    </w:p>
    <w:tbl>
      <w:tblPr>
        <w:tblStyle w:val="24"/>
        <w:tblW w:w="9098" w:type="dxa"/>
        <w:jc w:val="center"/>
        <w:tblLayout w:type="fixed"/>
        <w:tblCellMar>
          <w:top w:w="0" w:type="dxa"/>
          <w:left w:w="108" w:type="dxa"/>
          <w:bottom w:w="0" w:type="dxa"/>
          <w:right w:w="108" w:type="dxa"/>
        </w:tblCellMar>
      </w:tblPr>
      <w:tblGrid>
        <w:gridCol w:w="552"/>
        <w:gridCol w:w="1620"/>
        <w:gridCol w:w="2490"/>
        <w:gridCol w:w="2745"/>
        <w:gridCol w:w="1691"/>
      </w:tblGrid>
      <w:tr>
        <w:tblPrEx>
          <w:tblCellMar>
            <w:top w:w="0" w:type="dxa"/>
            <w:left w:w="108" w:type="dxa"/>
            <w:bottom w:w="0" w:type="dxa"/>
            <w:right w:w="108" w:type="dxa"/>
          </w:tblCellMar>
        </w:tblPrEx>
        <w:trPr>
          <w:trHeight w:val="644"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6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弱电子系统</w:t>
            </w:r>
          </w:p>
        </w:tc>
        <w:tc>
          <w:tcPr>
            <w:tcW w:w="24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设备（材料）名称</w:t>
            </w:r>
          </w:p>
        </w:tc>
        <w:tc>
          <w:tcPr>
            <w:tcW w:w="27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推荐品牌</w:t>
            </w:r>
          </w:p>
        </w:tc>
        <w:tc>
          <w:tcPr>
            <w:tcW w:w="16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投标品牌</w:t>
            </w:r>
          </w:p>
        </w:tc>
      </w:tr>
      <w:tr>
        <w:tblPrEx>
          <w:tblCellMar>
            <w:top w:w="0" w:type="dxa"/>
            <w:left w:w="108" w:type="dxa"/>
            <w:bottom w:w="0" w:type="dxa"/>
            <w:right w:w="108" w:type="dxa"/>
          </w:tblCellMar>
        </w:tblPrEx>
        <w:trPr>
          <w:trHeight w:val="499" w:hRule="atLeast"/>
          <w:jc w:val="center"/>
        </w:trPr>
        <w:tc>
          <w:tcPr>
            <w:tcW w:w="5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6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综合布线</w:t>
            </w: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网线、光纤</w:t>
            </w:r>
          </w:p>
        </w:tc>
        <w:tc>
          <w:tcPr>
            <w:tcW w:w="27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兰贝、爱谱华顿、FHT</w:t>
            </w:r>
          </w:p>
        </w:tc>
        <w:tc>
          <w:tcPr>
            <w:tcW w:w="16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jc w:val="center"/>
        </w:trPr>
        <w:tc>
          <w:tcPr>
            <w:tcW w:w="5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机柜</w:t>
            </w:r>
          </w:p>
        </w:tc>
        <w:tc>
          <w:tcPr>
            <w:tcW w:w="27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飞凯、兰贝、普地</w:t>
            </w:r>
          </w:p>
        </w:tc>
        <w:tc>
          <w:tcPr>
            <w:tcW w:w="16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jc w:val="center"/>
        </w:trPr>
        <w:tc>
          <w:tcPr>
            <w:tcW w:w="5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电气配管</w:t>
            </w:r>
          </w:p>
        </w:tc>
        <w:tc>
          <w:tcPr>
            <w:tcW w:w="27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正大、华朔、伟星</w:t>
            </w:r>
          </w:p>
        </w:tc>
        <w:tc>
          <w:tcPr>
            <w:tcW w:w="16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jc w:val="center"/>
        </w:trPr>
        <w:tc>
          <w:tcPr>
            <w:tcW w:w="5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桥架</w:t>
            </w:r>
          </w:p>
        </w:tc>
        <w:tc>
          <w:tcPr>
            <w:tcW w:w="27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中马、博天、天安</w:t>
            </w:r>
          </w:p>
        </w:tc>
        <w:tc>
          <w:tcPr>
            <w:tcW w:w="16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jc w:val="center"/>
        </w:trPr>
        <w:tc>
          <w:tcPr>
            <w:tcW w:w="5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语音系统</w:t>
            </w: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皮线光缆</w:t>
            </w:r>
          </w:p>
        </w:tc>
        <w:tc>
          <w:tcPr>
            <w:tcW w:w="27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兰贝、爱谱华顿、FHT</w:t>
            </w:r>
          </w:p>
        </w:tc>
        <w:tc>
          <w:tcPr>
            <w:tcW w:w="16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jc w:val="center"/>
        </w:trPr>
        <w:tc>
          <w:tcPr>
            <w:tcW w:w="5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6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计算机网络设备</w:t>
            </w: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交换机、无线AP</w:t>
            </w:r>
          </w:p>
        </w:tc>
        <w:tc>
          <w:tcPr>
            <w:tcW w:w="27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华为、新华三、思科</w:t>
            </w:r>
          </w:p>
        </w:tc>
        <w:tc>
          <w:tcPr>
            <w:tcW w:w="16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jc w:val="center"/>
        </w:trPr>
        <w:tc>
          <w:tcPr>
            <w:tcW w:w="5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防火墙</w:t>
            </w:r>
          </w:p>
        </w:tc>
        <w:tc>
          <w:tcPr>
            <w:tcW w:w="27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华为、新华三、网神</w:t>
            </w:r>
          </w:p>
        </w:tc>
        <w:tc>
          <w:tcPr>
            <w:tcW w:w="16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jc w:val="center"/>
        </w:trPr>
        <w:tc>
          <w:tcPr>
            <w:tcW w:w="5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上网行为管理</w:t>
            </w:r>
          </w:p>
        </w:tc>
        <w:tc>
          <w:tcPr>
            <w:tcW w:w="27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华为、新华三、深信服</w:t>
            </w:r>
          </w:p>
        </w:tc>
        <w:tc>
          <w:tcPr>
            <w:tcW w:w="16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jc w:val="center"/>
        </w:trPr>
        <w:tc>
          <w:tcPr>
            <w:tcW w:w="5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6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机房工程设备</w:t>
            </w: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UPS</w:t>
            </w:r>
          </w:p>
        </w:tc>
        <w:tc>
          <w:tcPr>
            <w:tcW w:w="27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山特、台达、伊顿</w:t>
            </w:r>
          </w:p>
        </w:tc>
        <w:tc>
          <w:tcPr>
            <w:tcW w:w="16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jc w:val="center"/>
        </w:trPr>
        <w:tc>
          <w:tcPr>
            <w:tcW w:w="5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rPr>
            </w:pP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防静电地板</w:t>
            </w:r>
          </w:p>
        </w:tc>
        <w:tc>
          <w:tcPr>
            <w:tcW w:w="27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金腾，自力、恒欣</w:t>
            </w:r>
          </w:p>
        </w:tc>
        <w:tc>
          <w:tcPr>
            <w:tcW w:w="16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jc w:val="center"/>
        </w:trPr>
        <w:tc>
          <w:tcPr>
            <w:tcW w:w="5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安防系统</w:t>
            </w: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摄像机、NVR、拼接屏</w:t>
            </w:r>
          </w:p>
        </w:tc>
        <w:tc>
          <w:tcPr>
            <w:tcW w:w="27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海康、大华、天地伟业</w:t>
            </w:r>
          </w:p>
        </w:tc>
        <w:tc>
          <w:tcPr>
            <w:tcW w:w="16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jc w:val="center"/>
        </w:trPr>
        <w:tc>
          <w:tcPr>
            <w:tcW w:w="5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广播系统</w:t>
            </w: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分区矩阵器、定压功放、吸顶音箱</w:t>
            </w:r>
          </w:p>
        </w:tc>
        <w:tc>
          <w:tcPr>
            <w:tcW w:w="27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霍尼韦尔、ITC、BGM</w:t>
            </w:r>
          </w:p>
        </w:tc>
        <w:tc>
          <w:tcPr>
            <w:tcW w:w="16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bl>
    <w:p>
      <w:pPr>
        <w:rPr>
          <w:rFonts w:ascii="宋体"/>
          <w:sz w:val="28"/>
          <w:szCs w:val="28"/>
        </w:rPr>
      </w:pPr>
    </w:p>
    <w:p>
      <w:pPr>
        <w:rPr>
          <w:rFonts w:ascii="宋体"/>
          <w:sz w:val="28"/>
          <w:szCs w:val="28"/>
        </w:rPr>
      </w:pPr>
    </w:p>
    <w:p>
      <w:pPr>
        <w:jc w:val="center"/>
        <w:rPr>
          <w:rFonts w:ascii="宋体" w:hAnsi="宋体"/>
          <w:b/>
          <w:sz w:val="28"/>
          <w:szCs w:val="28"/>
        </w:rPr>
      </w:pPr>
      <w:r>
        <w:rPr>
          <w:rFonts w:hint="eastAsia" w:ascii="宋体" w:hAnsi="宋体"/>
          <w:b/>
          <w:sz w:val="28"/>
          <w:szCs w:val="28"/>
        </w:rPr>
        <w:t>七、投标人资格证明文件</w:t>
      </w:r>
    </w:p>
    <w:p>
      <w:pPr>
        <w:widowControl/>
        <w:spacing w:line="400" w:lineRule="exact"/>
        <w:ind w:firstLine="361" w:firstLineChars="150"/>
        <w:jc w:val="left"/>
        <w:rPr>
          <w:rFonts w:ascii="宋体" w:cs="宋体"/>
          <w:b/>
          <w:kern w:val="0"/>
          <w:sz w:val="24"/>
        </w:rPr>
      </w:pPr>
      <w:r>
        <w:rPr>
          <w:rFonts w:hint="eastAsia" w:ascii="宋体" w:hAnsi="宋体" w:cs="宋体"/>
          <w:b/>
          <w:kern w:val="0"/>
          <w:sz w:val="24"/>
        </w:rPr>
        <w:t>投标人除提供“投标人要求”中所列文件外，须相应提供以下资料：</w:t>
      </w:r>
    </w:p>
    <w:p>
      <w:pPr>
        <w:widowControl/>
        <w:spacing w:line="400" w:lineRule="exact"/>
        <w:ind w:firstLine="360" w:firstLineChars="150"/>
        <w:jc w:val="left"/>
        <w:rPr>
          <w:rFonts w:ascii="宋体" w:cs="宋体"/>
          <w:kern w:val="0"/>
          <w:sz w:val="24"/>
        </w:rPr>
      </w:pPr>
      <w:r>
        <w:rPr>
          <w:rFonts w:hint="eastAsia" w:ascii="宋体" w:hAnsi="宋体" w:cs="宋体"/>
          <w:kern w:val="0"/>
          <w:sz w:val="24"/>
        </w:rPr>
        <w:t>基本情况说明</w:t>
      </w:r>
    </w:p>
    <w:p>
      <w:pPr>
        <w:widowControl/>
        <w:spacing w:line="400" w:lineRule="exact"/>
        <w:ind w:firstLine="360" w:firstLineChars="150"/>
        <w:jc w:val="left"/>
        <w:rPr>
          <w:rFonts w:ascii="宋体" w:cs="宋体"/>
          <w:kern w:val="0"/>
          <w:sz w:val="24"/>
        </w:rPr>
      </w:pPr>
      <w:r>
        <w:rPr>
          <w:rFonts w:hint="eastAsia" w:ascii="宋体" w:hAnsi="宋体" w:cs="宋体"/>
          <w:kern w:val="0"/>
          <w:sz w:val="24"/>
        </w:rPr>
        <w:t>⑴</w:t>
      </w:r>
      <w:r>
        <w:rPr>
          <w:rFonts w:hint="eastAsia" w:ascii="宋体" w:hAnsi="宋体" w:cs="宋体"/>
          <w:bCs/>
          <w:kern w:val="0"/>
          <w:sz w:val="24"/>
        </w:rPr>
        <w:t>投标人简介、通讯方式</w:t>
      </w:r>
    </w:p>
    <w:p>
      <w:pPr>
        <w:widowControl/>
        <w:spacing w:line="400" w:lineRule="exact"/>
        <w:ind w:firstLine="360" w:firstLineChars="150"/>
        <w:jc w:val="left"/>
        <w:rPr>
          <w:rFonts w:ascii="宋体" w:cs="宋体"/>
          <w:kern w:val="0"/>
          <w:sz w:val="24"/>
        </w:rPr>
      </w:pPr>
      <w:r>
        <w:rPr>
          <w:rFonts w:hint="eastAsia" w:ascii="宋体" w:hAnsi="宋体" w:cs="宋体"/>
          <w:kern w:val="0"/>
          <w:sz w:val="24"/>
        </w:rPr>
        <w:t>⑵开户银行名称及地址</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⑶投标人负责本项目弱电专业项目经理证书复印件</w:t>
      </w:r>
    </w:p>
    <w:p>
      <w:pPr>
        <w:autoSpaceDE w:val="0"/>
        <w:autoSpaceDN w:val="0"/>
        <w:adjustRightInd w:val="0"/>
        <w:spacing w:line="400" w:lineRule="exact"/>
        <w:ind w:firstLine="360" w:firstLineChars="150"/>
        <w:rPr>
          <w:rFonts w:ascii="宋体" w:cs="宋体"/>
          <w:kern w:val="0"/>
          <w:sz w:val="24"/>
        </w:rPr>
      </w:pPr>
      <w:r>
        <w:rPr>
          <w:rFonts w:hint="eastAsia"/>
          <w:sz w:val="24"/>
        </w:rPr>
        <w:t>⑷</w:t>
      </w:r>
      <w:r>
        <w:rPr>
          <w:rFonts w:hint="eastAsia" w:ascii="宋体" w:hAnsi="宋体" w:cs="宋体"/>
          <w:kern w:val="0"/>
          <w:sz w:val="24"/>
        </w:rPr>
        <w:t>投标人需要说明的其它情况</w:t>
      </w:r>
    </w:p>
    <w:p>
      <w:pPr>
        <w:autoSpaceDE w:val="0"/>
        <w:autoSpaceDN w:val="0"/>
        <w:adjustRightInd w:val="0"/>
        <w:spacing w:line="400" w:lineRule="exact"/>
        <w:ind w:firstLine="360" w:firstLineChars="150"/>
        <w:rPr>
          <w:rFonts w:ascii="宋体" w:cs="宋体"/>
          <w:kern w:val="0"/>
          <w:sz w:val="24"/>
        </w:rPr>
      </w:pPr>
    </w:p>
    <w:p>
      <w:pPr>
        <w:autoSpaceDE w:val="0"/>
        <w:autoSpaceDN w:val="0"/>
        <w:adjustRightInd w:val="0"/>
        <w:spacing w:line="400" w:lineRule="exact"/>
        <w:ind w:firstLine="360" w:firstLineChars="150"/>
        <w:rPr>
          <w:rFonts w:ascii="宋体" w:cs="宋体"/>
          <w:kern w:val="0"/>
          <w:sz w:val="24"/>
        </w:rPr>
      </w:pPr>
    </w:p>
    <w:p>
      <w:pPr>
        <w:autoSpaceDE w:val="0"/>
        <w:autoSpaceDN w:val="0"/>
        <w:adjustRightInd w:val="0"/>
        <w:spacing w:line="400" w:lineRule="exact"/>
        <w:ind w:firstLine="360" w:firstLineChars="150"/>
        <w:rPr>
          <w:rFonts w:ascii="宋体" w:cs="宋体"/>
          <w:kern w:val="0"/>
          <w:sz w:val="24"/>
        </w:rPr>
      </w:pPr>
    </w:p>
    <w:p>
      <w:pPr>
        <w:autoSpaceDE w:val="0"/>
        <w:autoSpaceDN w:val="0"/>
        <w:adjustRightInd w:val="0"/>
        <w:spacing w:line="400" w:lineRule="exact"/>
        <w:ind w:firstLine="360" w:firstLineChars="150"/>
        <w:rPr>
          <w:rFonts w:ascii="宋体" w:cs="宋体"/>
          <w:kern w:val="0"/>
          <w:sz w:val="24"/>
        </w:rPr>
      </w:pPr>
    </w:p>
    <w:p>
      <w:pPr>
        <w:autoSpaceDE w:val="0"/>
        <w:autoSpaceDN w:val="0"/>
        <w:adjustRightInd w:val="0"/>
        <w:spacing w:line="400" w:lineRule="exact"/>
        <w:ind w:firstLine="360" w:firstLineChars="150"/>
        <w:rPr>
          <w:rFonts w:ascii="宋体" w:cs="宋体"/>
          <w:kern w:val="0"/>
          <w:sz w:val="24"/>
        </w:rPr>
      </w:pPr>
    </w:p>
    <w:p>
      <w:pPr>
        <w:jc w:val="center"/>
        <w:rPr>
          <w:rFonts w:ascii="宋体" w:hAnsi="宋体"/>
          <w:b/>
          <w:sz w:val="28"/>
          <w:szCs w:val="28"/>
        </w:rPr>
      </w:pPr>
      <w:r>
        <w:rPr>
          <w:rFonts w:hint="eastAsia" w:ascii="宋体" w:hAnsi="宋体"/>
          <w:b/>
          <w:sz w:val="28"/>
          <w:szCs w:val="28"/>
        </w:rPr>
        <w:t>八、投标保证金退还申请书</w:t>
      </w:r>
    </w:p>
    <w:p>
      <w:pPr>
        <w:spacing w:before="468" w:beforeLines="150" w:after="312" w:afterLines="100"/>
        <w:rPr>
          <w:rFonts w:ascii="宋体" w:cs="宋体"/>
          <w:sz w:val="24"/>
        </w:rPr>
      </w:pPr>
      <w:r>
        <w:rPr>
          <w:rFonts w:hint="eastAsia" w:ascii="宋体" w:hAnsi="宋体" w:cs="宋体"/>
          <w:kern w:val="0"/>
          <w:sz w:val="24"/>
          <w:lang w:val="zh-CN"/>
        </w:rPr>
        <w:t>合肥百货大楼集团商业大厦有限责任公司</w:t>
      </w:r>
    </w:p>
    <w:p>
      <w:pPr>
        <w:ind w:firstLine="460" w:firstLineChars="192"/>
        <w:rPr>
          <w:rFonts w:ascii="宋体" w:cs="宋体"/>
          <w:sz w:val="24"/>
        </w:rPr>
      </w:pPr>
      <w:r>
        <w:rPr>
          <w:rFonts w:hint="eastAsia" w:ascii="宋体" w:hAnsi="宋体" w:cs="宋体"/>
          <w:sz w:val="24"/>
        </w:rPr>
        <w:t>我公司于</w:t>
      </w:r>
      <w:r>
        <w:rPr>
          <w:rFonts w:ascii="宋体" w:hAnsi="宋体" w:cs="宋体"/>
          <w:sz w:val="24"/>
          <w:u w:val="single"/>
        </w:rPr>
        <w:t>20</w:t>
      </w:r>
      <w:r>
        <w:rPr>
          <w:rFonts w:hint="eastAsia" w:ascii="宋体" w:hAnsi="宋体" w:cs="宋体"/>
          <w:sz w:val="24"/>
          <w:u w:val="single"/>
        </w:rPr>
        <w:t>2</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hint="eastAsia" w:ascii="宋体" w:hAnsi="宋体" w:cs="宋体"/>
          <w:sz w:val="24"/>
        </w:rPr>
        <w:t>参加项目招投标，交纳保证金</w:t>
      </w:r>
    </w:p>
    <w:p>
      <w:pPr>
        <w:rPr>
          <w:rFonts w:ascii="宋体" w:cs="宋体"/>
          <w:sz w:val="24"/>
        </w:rPr>
      </w:pPr>
      <w:r>
        <w:rPr>
          <w:rFonts w:hint="eastAsia" w:ascii="宋体" w:hAnsi="宋体" w:cs="宋体"/>
          <w:sz w:val="24"/>
        </w:rPr>
        <w:t>元。如我公司未中标，请将该项目投标保证金退至以下帐号；如我公司中标，投标保证金退还事宜按投标邀请约定执行。</w:t>
      </w:r>
    </w:p>
    <w:p>
      <w:pPr>
        <w:ind w:firstLine="460" w:firstLineChars="192"/>
        <w:rPr>
          <w:rFonts w:ascii="宋体" w:cs="宋体"/>
          <w:sz w:val="24"/>
        </w:rPr>
      </w:pPr>
      <w:r>
        <w:rPr>
          <w:rFonts w:hint="eastAsia" w:ascii="宋体" w:hAnsi="宋体" w:cs="宋体"/>
          <w:sz w:val="24"/>
        </w:rPr>
        <w:t>请予办理。</w:t>
      </w:r>
    </w:p>
    <w:p>
      <w:pPr>
        <w:ind w:firstLine="460" w:firstLineChars="192"/>
        <w:rPr>
          <w:rFonts w:ascii="宋体" w:cs="宋体"/>
          <w:sz w:val="24"/>
        </w:rPr>
      </w:pPr>
    </w:p>
    <w:p>
      <w:pPr>
        <w:ind w:firstLine="460" w:firstLineChars="192"/>
        <w:rPr>
          <w:rFonts w:ascii="宋体" w:cs="宋体"/>
          <w:sz w:val="24"/>
        </w:rPr>
      </w:pPr>
      <w:r>
        <w:rPr>
          <w:rFonts w:hint="eastAsia" w:ascii="宋体" w:hAnsi="宋体" w:cs="宋体"/>
          <w:sz w:val="24"/>
        </w:rPr>
        <w:t>户</w:t>
      </w:r>
      <w:r>
        <w:rPr>
          <w:rFonts w:ascii="宋体" w:hAnsi="宋体" w:cs="宋体"/>
          <w:sz w:val="24"/>
        </w:rPr>
        <w:t xml:space="preserve">    </w:t>
      </w:r>
      <w:r>
        <w:rPr>
          <w:rFonts w:hint="eastAsia" w:ascii="宋体" w:hAnsi="宋体" w:cs="宋体"/>
          <w:sz w:val="24"/>
        </w:rPr>
        <w:t>名：</w:t>
      </w:r>
    </w:p>
    <w:p>
      <w:pPr>
        <w:ind w:firstLine="460" w:firstLineChars="192"/>
        <w:rPr>
          <w:rFonts w:ascii="宋体" w:cs="宋体"/>
          <w:sz w:val="24"/>
        </w:rPr>
      </w:pPr>
      <w:r>
        <w:rPr>
          <w:rFonts w:hint="eastAsia" w:ascii="宋体" w:hAnsi="宋体" w:cs="宋体"/>
          <w:sz w:val="24"/>
        </w:rPr>
        <w:t>开户银行：</w:t>
      </w:r>
    </w:p>
    <w:p>
      <w:pPr>
        <w:ind w:firstLine="460" w:firstLineChars="192"/>
        <w:rPr>
          <w:rFonts w:ascii="宋体" w:cs="宋体"/>
          <w:sz w:val="24"/>
        </w:rPr>
      </w:pPr>
      <w:r>
        <w:rPr>
          <w:rFonts w:hint="eastAsia" w:ascii="宋体" w:hAnsi="宋体" w:cs="宋体"/>
          <w:sz w:val="24"/>
        </w:rPr>
        <w:t>帐</w:t>
      </w:r>
      <w:r>
        <w:rPr>
          <w:rFonts w:ascii="宋体" w:hAnsi="宋体" w:cs="宋体"/>
          <w:sz w:val="24"/>
        </w:rPr>
        <w:t xml:space="preserve">    </w:t>
      </w:r>
      <w:r>
        <w:rPr>
          <w:rFonts w:hint="eastAsia" w:ascii="宋体" w:hAnsi="宋体" w:cs="宋体"/>
          <w:sz w:val="24"/>
        </w:rPr>
        <w:t>号：</w:t>
      </w:r>
    </w:p>
    <w:p>
      <w:pPr>
        <w:ind w:firstLine="460" w:firstLineChars="192"/>
        <w:rPr>
          <w:rFonts w:ascii="宋体" w:cs="宋体"/>
          <w:sz w:val="24"/>
        </w:rPr>
      </w:pPr>
      <w:r>
        <w:rPr>
          <w:rFonts w:hint="eastAsia" w:ascii="宋体" w:hAnsi="宋体" w:cs="宋体"/>
          <w:sz w:val="24"/>
        </w:rPr>
        <w:t>联系电话：</w:t>
      </w:r>
    </w:p>
    <w:tbl>
      <w:tblPr>
        <w:tblStyle w:val="24"/>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854" w:type="dxa"/>
          </w:tcPr>
          <w:p>
            <w:pPr>
              <w:jc w:val="center"/>
              <w:rPr>
                <w:rFonts w:ascii="宋体" w:hAnsi="宋体" w:cs="宋体"/>
                <w:sz w:val="24"/>
              </w:rPr>
            </w:pPr>
          </w:p>
          <w:p>
            <w:pPr>
              <w:jc w:val="center"/>
              <w:rPr>
                <w:rFonts w:hint="eastAsia" w:ascii="宋体" w:hAnsi="宋体" w:cs="宋体"/>
                <w:sz w:val="24"/>
              </w:rPr>
            </w:pPr>
          </w:p>
          <w:p>
            <w:pPr>
              <w:jc w:val="center"/>
              <w:rPr>
                <w:rFonts w:ascii="宋体" w:cs="宋体"/>
                <w:sz w:val="24"/>
              </w:rPr>
            </w:pPr>
            <w:r>
              <w:rPr>
                <w:rFonts w:hint="eastAsia" w:ascii="宋体" w:hAnsi="宋体" w:cs="宋体"/>
                <w:sz w:val="24"/>
              </w:rPr>
              <w:t>此处提供转账单复印件</w:t>
            </w:r>
          </w:p>
        </w:tc>
      </w:tr>
    </w:tbl>
    <w:p>
      <w:pPr>
        <w:rPr>
          <w:rFonts w:ascii="宋体" w:cs="宋体"/>
          <w:sz w:val="24"/>
        </w:rPr>
      </w:pPr>
    </w:p>
    <w:p>
      <w:pPr>
        <w:rPr>
          <w:rFonts w:ascii="宋体" w:cs="宋体"/>
          <w:sz w:val="24"/>
        </w:rPr>
      </w:pPr>
    </w:p>
    <w:p>
      <w:pPr>
        <w:ind w:firstLine="5673" w:firstLineChars="2364"/>
        <w:rPr>
          <w:rFonts w:ascii="宋体" w:cs="宋体"/>
          <w:sz w:val="24"/>
        </w:rPr>
      </w:pPr>
      <w:r>
        <w:rPr>
          <w:rFonts w:hint="eastAsia" w:ascii="宋体" w:hAnsi="宋体" w:cs="宋体"/>
          <w:sz w:val="24"/>
        </w:rPr>
        <w:t>投标人：</w:t>
      </w:r>
    </w:p>
    <w:p>
      <w:pPr>
        <w:ind w:firstLine="5160" w:firstLineChars="2150"/>
        <w:rPr>
          <w:rFonts w:ascii="宋体" w:hAns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ind w:firstLine="5160" w:firstLineChars="2150"/>
        <w:rPr>
          <w:rFonts w:ascii="宋体" w:hAnsi="宋体" w:cs="宋体"/>
          <w:sz w:val="24"/>
        </w:rPr>
      </w:pPr>
    </w:p>
    <w:p>
      <w:pPr>
        <w:ind w:firstLine="5160" w:firstLineChars="2150"/>
        <w:rPr>
          <w:rFonts w:ascii="宋体" w:hAnsi="宋体" w:cs="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宋体-18030">
    <w:altName w:val="宋体"/>
    <w:panose1 w:val="00000000000000000000"/>
    <w:charset w:val="7A"/>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lang w:val="zh-CN"/>
      </w:rPr>
      <w:t xml:space="preserve"> </w:t>
    </w:r>
    <w:r>
      <w:rPr>
        <w:b/>
      </w:rPr>
      <w:fldChar w:fldCharType="begin"/>
    </w:r>
    <w:r>
      <w:rPr>
        <w:b/>
      </w:rPr>
      <w:instrText xml:space="preserve">PAGE</w:instrText>
    </w:r>
    <w:r>
      <w:rPr>
        <w:b/>
      </w:rPr>
      <w:fldChar w:fldCharType="separate"/>
    </w:r>
    <w:r>
      <w:rPr>
        <w:b/>
      </w:rPr>
      <w:t>59</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65</w:t>
    </w:r>
    <w:r>
      <w:rPr>
        <w:b/>
      </w:rP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
    <w:nsid w:val="01CB6C7C"/>
    <w:multiLevelType w:val="multilevel"/>
    <w:tmpl w:val="01CB6C7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957635E"/>
    <w:multiLevelType w:val="singleLevel"/>
    <w:tmpl w:val="0957635E"/>
    <w:lvl w:ilvl="0" w:tentative="0">
      <w:start w:val="3"/>
      <w:numFmt w:val="chineseCounting"/>
      <w:suff w:val="space"/>
      <w:lvlText w:val="第%1章"/>
      <w:lvlJc w:val="left"/>
      <w:rPr>
        <w:rFonts w:hint="eastAsia"/>
      </w:rPr>
    </w:lvl>
  </w:abstractNum>
  <w:abstractNum w:abstractNumId="3">
    <w:nsid w:val="1A9D35FD"/>
    <w:multiLevelType w:val="multilevel"/>
    <w:tmpl w:val="1A9D35FD"/>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4E077FB"/>
    <w:multiLevelType w:val="multilevel"/>
    <w:tmpl w:val="44E077FB"/>
    <w:lvl w:ilvl="0" w:tentative="0">
      <w:start w:val="1"/>
      <w:numFmt w:val="decimal"/>
      <w:pStyle w:val="2"/>
      <w:suff w:val="nothing"/>
      <w:lvlText w:val="%1、"/>
      <w:lvlJc w:val="left"/>
      <w:pPr>
        <w:ind w:left="432" w:hanging="432"/>
      </w:pPr>
      <w:rPr>
        <w:rFonts w:hint="eastAsia" w:cs="Times New Roman"/>
      </w:rPr>
    </w:lvl>
    <w:lvl w:ilvl="1" w:tentative="0">
      <w:start w:val="1"/>
      <w:numFmt w:val="decimal"/>
      <w:pStyle w:val="3"/>
      <w:suff w:val="nothing"/>
      <w:lvlText w:val="%1.%2、"/>
      <w:lvlJc w:val="left"/>
      <w:pPr>
        <w:ind w:left="718" w:hanging="576"/>
      </w:pPr>
      <w:rPr>
        <w:rFonts w:hint="eastAsia" w:cs="Times New Roman"/>
      </w:rPr>
    </w:lvl>
    <w:lvl w:ilvl="2" w:tentative="0">
      <w:start w:val="1"/>
      <w:numFmt w:val="decimal"/>
      <w:lvlText w:val="(%3)"/>
      <w:lvlJc w:val="left"/>
      <w:pPr>
        <w:ind w:left="720" w:hanging="720"/>
      </w:pPr>
      <w:rPr>
        <w:rFonts w:hint="default" w:cs="Times New Roman"/>
      </w:rPr>
    </w:lvl>
    <w:lvl w:ilvl="3" w:tentative="0">
      <w:start w:val="1"/>
      <w:numFmt w:val="decimal"/>
      <w:lvlText w:val="%1.%2.%3.%4"/>
      <w:lvlJc w:val="left"/>
      <w:pPr>
        <w:ind w:left="1432" w:hanging="864"/>
      </w:pPr>
      <w:rPr>
        <w:rFonts w:hint="eastAsia" w:cs="Times New Roman"/>
      </w:rPr>
    </w:lvl>
    <w:lvl w:ilvl="4" w:tentative="0">
      <w:start w:val="1"/>
      <w:numFmt w:val="decimal"/>
      <w:pStyle w:val="6"/>
      <w:lvlText w:val="%1.%2.%3.%4.%5"/>
      <w:lvlJc w:val="left"/>
      <w:pPr>
        <w:ind w:left="1008" w:hanging="1008"/>
      </w:pPr>
      <w:rPr>
        <w:rFonts w:hint="eastAsia" w:cs="Times New Roman"/>
      </w:rPr>
    </w:lvl>
    <w:lvl w:ilvl="5" w:tentative="0">
      <w:start w:val="1"/>
      <w:numFmt w:val="decimal"/>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abstractNum w:abstractNumId="5">
    <w:nsid w:val="45D717F6"/>
    <w:multiLevelType w:val="multilevel"/>
    <w:tmpl w:val="45D717F6"/>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EE039A9"/>
    <w:multiLevelType w:val="multilevel"/>
    <w:tmpl w:val="4EE039A9"/>
    <w:lvl w:ilvl="0" w:tentative="0">
      <w:start w:val="3"/>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1440E20"/>
    <w:multiLevelType w:val="multilevel"/>
    <w:tmpl w:val="71440E2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1"/>
  </w:num>
  <w:num w:numId="4">
    <w:abstractNumId w:val="0"/>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269"/>
    <w:rsid w:val="000005A7"/>
    <w:rsid w:val="000042E0"/>
    <w:rsid w:val="000044D8"/>
    <w:rsid w:val="00004DDB"/>
    <w:rsid w:val="00005997"/>
    <w:rsid w:val="00006B7E"/>
    <w:rsid w:val="00006C6E"/>
    <w:rsid w:val="00010828"/>
    <w:rsid w:val="00012042"/>
    <w:rsid w:val="00013014"/>
    <w:rsid w:val="000131F7"/>
    <w:rsid w:val="00015031"/>
    <w:rsid w:val="0001677F"/>
    <w:rsid w:val="000202E0"/>
    <w:rsid w:val="00032554"/>
    <w:rsid w:val="0003375B"/>
    <w:rsid w:val="00034475"/>
    <w:rsid w:val="00035F5C"/>
    <w:rsid w:val="00036347"/>
    <w:rsid w:val="00042824"/>
    <w:rsid w:val="0004327D"/>
    <w:rsid w:val="0004337A"/>
    <w:rsid w:val="000475D7"/>
    <w:rsid w:val="00052731"/>
    <w:rsid w:val="00052D08"/>
    <w:rsid w:val="00056E4E"/>
    <w:rsid w:val="000574D5"/>
    <w:rsid w:val="00060339"/>
    <w:rsid w:val="00062B70"/>
    <w:rsid w:val="00070C4E"/>
    <w:rsid w:val="0007450C"/>
    <w:rsid w:val="00074B2A"/>
    <w:rsid w:val="00075D1F"/>
    <w:rsid w:val="00075DD8"/>
    <w:rsid w:val="000769E4"/>
    <w:rsid w:val="0007766A"/>
    <w:rsid w:val="00080DF5"/>
    <w:rsid w:val="00082A8D"/>
    <w:rsid w:val="00083A5C"/>
    <w:rsid w:val="00086F6C"/>
    <w:rsid w:val="0009161A"/>
    <w:rsid w:val="00091AD5"/>
    <w:rsid w:val="00092C71"/>
    <w:rsid w:val="000939EB"/>
    <w:rsid w:val="000953E9"/>
    <w:rsid w:val="00096CEC"/>
    <w:rsid w:val="000A22D7"/>
    <w:rsid w:val="000A7700"/>
    <w:rsid w:val="000B0E44"/>
    <w:rsid w:val="000B44A8"/>
    <w:rsid w:val="000B5D8D"/>
    <w:rsid w:val="000B79DE"/>
    <w:rsid w:val="000C0CDB"/>
    <w:rsid w:val="000C3A2E"/>
    <w:rsid w:val="000C4C50"/>
    <w:rsid w:val="000C5BE8"/>
    <w:rsid w:val="000C6814"/>
    <w:rsid w:val="000C6D4C"/>
    <w:rsid w:val="000D3AB8"/>
    <w:rsid w:val="000D4259"/>
    <w:rsid w:val="000D4ACF"/>
    <w:rsid w:val="000D6F52"/>
    <w:rsid w:val="000D7693"/>
    <w:rsid w:val="000E13A3"/>
    <w:rsid w:val="000E436E"/>
    <w:rsid w:val="001066BC"/>
    <w:rsid w:val="001070A3"/>
    <w:rsid w:val="00107138"/>
    <w:rsid w:val="00107706"/>
    <w:rsid w:val="00107CD0"/>
    <w:rsid w:val="001139EB"/>
    <w:rsid w:val="00117391"/>
    <w:rsid w:val="0012314F"/>
    <w:rsid w:val="00124FA2"/>
    <w:rsid w:val="00132262"/>
    <w:rsid w:val="00134315"/>
    <w:rsid w:val="00135D0C"/>
    <w:rsid w:val="00144846"/>
    <w:rsid w:val="001450F0"/>
    <w:rsid w:val="00147067"/>
    <w:rsid w:val="00147FA1"/>
    <w:rsid w:val="00152F05"/>
    <w:rsid w:val="00153B19"/>
    <w:rsid w:val="0015517C"/>
    <w:rsid w:val="00156702"/>
    <w:rsid w:val="00165084"/>
    <w:rsid w:val="00165953"/>
    <w:rsid w:val="00170022"/>
    <w:rsid w:val="00172858"/>
    <w:rsid w:val="0017472E"/>
    <w:rsid w:val="00177707"/>
    <w:rsid w:val="00185DDE"/>
    <w:rsid w:val="00190435"/>
    <w:rsid w:val="00191874"/>
    <w:rsid w:val="001919AD"/>
    <w:rsid w:val="00193267"/>
    <w:rsid w:val="001A021B"/>
    <w:rsid w:val="001A3042"/>
    <w:rsid w:val="001A7B5F"/>
    <w:rsid w:val="001B12DB"/>
    <w:rsid w:val="001B2D25"/>
    <w:rsid w:val="001B2D4E"/>
    <w:rsid w:val="001B331D"/>
    <w:rsid w:val="001B65E3"/>
    <w:rsid w:val="001B70BB"/>
    <w:rsid w:val="001B7AB9"/>
    <w:rsid w:val="001C2E85"/>
    <w:rsid w:val="001C4725"/>
    <w:rsid w:val="001D3C5A"/>
    <w:rsid w:val="001D64FD"/>
    <w:rsid w:val="001D6721"/>
    <w:rsid w:val="001D7451"/>
    <w:rsid w:val="001E1756"/>
    <w:rsid w:val="001E260E"/>
    <w:rsid w:val="001E3301"/>
    <w:rsid w:val="001E7B7B"/>
    <w:rsid w:val="001F311A"/>
    <w:rsid w:val="001F4870"/>
    <w:rsid w:val="001F49E3"/>
    <w:rsid w:val="00207235"/>
    <w:rsid w:val="00210437"/>
    <w:rsid w:val="002109DA"/>
    <w:rsid w:val="00210A5D"/>
    <w:rsid w:val="00212663"/>
    <w:rsid w:val="00221174"/>
    <w:rsid w:val="00221BB4"/>
    <w:rsid w:val="0022671A"/>
    <w:rsid w:val="002268E0"/>
    <w:rsid w:val="00226CB4"/>
    <w:rsid w:val="00230FE7"/>
    <w:rsid w:val="00231DAA"/>
    <w:rsid w:val="00235F0B"/>
    <w:rsid w:val="0023688C"/>
    <w:rsid w:val="00241B74"/>
    <w:rsid w:val="002449C9"/>
    <w:rsid w:val="00246FC9"/>
    <w:rsid w:val="002474AC"/>
    <w:rsid w:val="00247B74"/>
    <w:rsid w:val="00247C44"/>
    <w:rsid w:val="00250D1F"/>
    <w:rsid w:val="00251C85"/>
    <w:rsid w:val="002530D1"/>
    <w:rsid w:val="002541CC"/>
    <w:rsid w:val="00260719"/>
    <w:rsid w:val="0026186F"/>
    <w:rsid w:val="002630BC"/>
    <w:rsid w:val="00263E36"/>
    <w:rsid w:val="002734FA"/>
    <w:rsid w:val="00274514"/>
    <w:rsid w:val="00277753"/>
    <w:rsid w:val="00280E8C"/>
    <w:rsid w:val="00281368"/>
    <w:rsid w:val="002818B9"/>
    <w:rsid w:val="00283E02"/>
    <w:rsid w:val="002840B1"/>
    <w:rsid w:val="0028600F"/>
    <w:rsid w:val="00290F4D"/>
    <w:rsid w:val="002912AD"/>
    <w:rsid w:val="0029179A"/>
    <w:rsid w:val="00291ADB"/>
    <w:rsid w:val="0029622D"/>
    <w:rsid w:val="00297219"/>
    <w:rsid w:val="002A2B9B"/>
    <w:rsid w:val="002A5040"/>
    <w:rsid w:val="002A72FD"/>
    <w:rsid w:val="002A7E78"/>
    <w:rsid w:val="002B0899"/>
    <w:rsid w:val="002B23C5"/>
    <w:rsid w:val="002B5029"/>
    <w:rsid w:val="002B552A"/>
    <w:rsid w:val="002B7240"/>
    <w:rsid w:val="002C029E"/>
    <w:rsid w:val="002C2837"/>
    <w:rsid w:val="002C3193"/>
    <w:rsid w:val="002C4E2C"/>
    <w:rsid w:val="002C510E"/>
    <w:rsid w:val="002C591E"/>
    <w:rsid w:val="002C6312"/>
    <w:rsid w:val="002D1C2E"/>
    <w:rsid w:val="002D49B4"/>
    <w:rsid w:val="002D5A14"/>
    <w:rsid w:val="002D7DD5"/>
    <w:rsid w:val="002E7102"/>
    <w:rsid w:val="002F0F8A"/>
    <w:rsid w:val="002F31F2"/>
    <w:rsid w:val="002F63FE"/>
    <w:rsid w:val="0030146A"/>
    <w:rsid w:val="00302B0D"/>
    <w:rsid w:val="0030381C"/>
    <w:rsid w:val="0030645A"/>
    <w:rsid w:val="00316173"/>
    <w:rsid w:val="0031729F"/>
    <w:rsid w:val="00317ED7"/>
    <w:rsid w:val="00322B33"/>
    <w:rsid w:val="00327582"/>
    <w:rsid w:val="00331B0E"/>
    <w:rsid w:val="00334BC1"/>
    <w:rsid w:val="00335380"/>
    <w:rsid w:val="003378A5"/>
    <w:rsid w:val="003406C1"/>
    <w:rsid w:val="00341780"/>
    <w:rsid w:val="00344A65"/>
    <w:rsid w:val="00345E9B"/>
    <w:rsid w:val="00346E54"/>
    <w:rsid w:val="003514E0"/>
    <w:rsid w:val="00351C3F"/>
    <w:rsid w:val="0035311B"/>
    <w:rsid w:val="00355671"/>
    <w:rsid w:val="00361171"/>
    <w:rsid w:val="00361BF0"/>
    <w:rsid w:val="00362D0D"/>
    <w:rsid w:val="00363EBF"/>
    <w:rsid w:val="00364DD1"/>
    <w:rsid w:val="003659D9"/>
    <w:rsid w:val="00367DB5"/>
    <w:rsid w:val="00370D3D"/>
    <w:rsid w:val="0037712B"/>
    <w:rsid w:val="003821C8"/>
    <w:rsid w:val="00384B3E"/>
    <w:rsid w:val="003872AE"/>
    <w:rsid w:val="00390504"/>
    <w:rsid w:val="00391B47"/>
    <w:rsid w:val="003921B7"/>
    <w:rsid w:val="0039320C"/>
    <w:rsid w:val="00395684"/>
    <w:rsid w:val="00395D97"/>
    <w:rsid w:val="00396502"/>
    <w:rsid w:val="003A1F40"/>
    <w:rsid w:val="003A22BB"/>
    <w:rsid w:val="003A44E4"/>
    <w:rsid w:val="003A4BF2"/>
    <w:rsid w:val="003A6A94"/>
    <w:rsid w:val="003A6C3F"/>
    <w:rsid w:val="003A6D2C"/>
    <w:rsid w:val="003A7480"/>
    <w:rsid w:val="003B0445"/>
    <w:rsid w:val="003B0A93"/>
    <w:rsid w:val="003B4C69"/>
    <w:rsid w:val="003B55D4"/>
    <w:rsid w:val="003C0E64"/>
    <w:rsid w:val="003C1A24"/>
    <w:rsid w:val="003C382E"/>
    <w:rsid w:val="003C5FBD"/>
    <w:rsid w:val="003D0150"/>
    <w:rsid w:val="003D0A93"/>
    <w:rsid w:val="003D2E2F"/>
    <w:rsid w:val="003D550F"/>
    <w:rsid w:val="003E1199"/>
    <w:rsid w:val="003E155F"/>
    <w:rsid w:val="003E532C"/>
    <w:rsid w:val="003E6581"/>
    <w:rsid w:val="003E7368"/>
    <w:rsid w:val="003F0186"/>
    <w:rsid w:val="003F0DF4"/>
    <w:rsid w:val="003F0FD0"/>
    <w:rsid w:val="003F16C5"/>
    <w:rsid w:val="003F208D"/>
    <w:rsid w:val="003F6D47"/>
    <w:rsid w:val="003F6ED5"/>
    <w:rsid w:val="00400F89"/>
    <w:rsid w:val="00403738"/>
    <w:rsid w:val="00412AD1"/>
    <w:rsid w:val="00412DCE"/>
    <w:rsid w:val="00413502"/>
    <w:rsid w:val="004143F1"/>
    <w:rsid w:val="004144CA"/>
    <w:rsid w:val="0041633C"/>
    <w:rsid w:val="00417465"/>
    <w:rsid w:val="004208F8"/>
    <w:rsid w:val="00425F20"/>
    <w:rsid w:val="00427F5A"/>
    <w:rsid w:val="00432009"/>
    <w:rsid w:val="00432060"/>
    <w:rsid w:val="00432BDB"/>
    <w:rsid w:val="004401D0"/>
    <w:rsid w:val="0044032D"/>
    <w:rsid w:val="004414C5"/>
    <w:rsid w:val="004416DF"/>
    <w:rsid w:val="00444765"/>
    <w:rsid w:val="00450C36"/>
    <w:rsid w:val="0045275C"/>
    <w:rsid w:val="00456A1F"/>
    <w:rsid w:val="0045731C"/>
    <w:rsid w:val="00461F96"/>
    <w:rsid w:val="004624EB"/>
    <w:rsid w:val="004641CF"/>
    <w:rsid w:val="0046799E"/>
    <w:rsid w:val="004721EB"/>
    <w:rsid w:val="00472A8A"/>
    <w:rsid w:val="004765EA"/>
    <w:rsid w:val="00477507"/>
    <w:rsid w:val="004775FF"/>
    <w:rsid w:val="0048471E"/>
    <w:rsid w:val="00484B46"/>
    <w:rsid w:val="004946BE"/>
    <w:rsid w:val="00497DC2"/>
    <w:rsid w:val="004A038E"/>
    <w:rsid w:val="004A0F11"/>
    <w:rsid w:val="004A1A34"/>
    <w:rsid w:val="004A4AFB"/>
    <w:rsid w:val="004A6623"/>
    <w:rsid w:val="004B074E"/>
    <w:rsid w:val="004B3313"/>
    <w:rsid w:val="004B3FF4"/>
    <w:rsid w:val="004B40DB"/>
    <w:rsid w:val="004B5182"/>
    <w:rsid w:val="004B777F"/>
    <w:rsid w:val="004C22F2"/>
    <w:rsid w:val="004C2492"/>
    <w:rsid w:val="004C299B"/>
    <w:rsid w:val="004C368C"/>
    <w:rsid w:val="004C7050"/>
    <w:rsid w:val="004D220D"/>
    <w:rsid w:val="004D23E1"/>
    <w:rsid w:val="004D4999"/>
    <w:rsid w:val="004D7124"/>
    <w:rsid w:val="004E3C04"/>
    <w:rsid w:val="004E3EE6"/>
    <w:rsid w:val="004E4DBF"/>
    <w:rsid w:val="004E77E3"/>
    <w:rsid w:val="004E7A79"/>
    <w:rsid w:val="004F33D4"/>
    <w:rsid w:val="004F4095"/>
    <w:rsid w:val="004F58C4"/>
    <w:rsid w:val="00500E72"/>
    <w:rsid w:val="005062D6"/>
    <w:rsid w:val="005067EF"/>
    <w:rsid w:val="005078C6"/>
    <w:rsid w:val="005102A2"/>
    <w:rsid w:val="00514890"/>
    <w:rsid w:val="00514D66"/>
    <w:rsid w:val="00516937"/>
    <w:rsid w:val="00517504"/>
    <w:rsid w:val="005206EE"/>
    <w:rsid w:val="00521C92"/>
    <w:rsid w:val="00525E42"/>
    <w:rsid w:val="005260C2"/>
    <w:rsid w:val="00531EF2"/>
    <w:rsid w:val="0053303F"/>
    <w:rsid w:val="005336D0"/>
    <w:rsid w:val="00534EEE"/>
    <w:rsid w:val="005355EF"/>
    <w:rsid w:val="00537D38"/>
    <w:rsid w:val="005404E2"/>
    <w:rsid w:val="00540BF6"/>
    <w:rsid w:val="00540C90"/>
    <w:rsid w:val="00543533"/>
    <w:rsid w:val="005508F6"/>
    <w:rsid w:val="005525EE"/>
    <w:rsid w:val="00553938"/>
    <w:rsid w:val="00554E0E"/>
    <w:rsid w:val="00561E9C"/>
    <w:rsid w:val="00561F06"/>
    <w:rsid w:val="00564DAC"/>
    <w:rsid w:val="005655D0"/>
    <w:rsid w:val="005658EB"/>
    <w:rsid w:val="00566329"/>
    <w:rsid w:val="00566A31"/>
    <w:rsid w:val="00570DC4"/>
    <w:rsid w:val="005720D1"/>
    <w:rsid w:val="005730D1"/>
    <w:rsid w:val="005733B8"/>
    <w:rsid w:val="005742C4"/>
    <w:rsid w:val="00577FE6"/>
    <w:rsid w:val="005813A9"/>
    <w:rsid w:val="005819AE"/>
    <w:rsid w:val="00583F63"/>
    <w:rsid w:val="00586AA1"/>
    <w:rsid w:val="00592928"/>
    <w:rsid w:val="00594B4E"/>
    <w:rsid w:val="005960F0"/>
    <w:rsid w:val="0059648B"/>
    <w:rsid w:val="005A213E"/>
    <w:rsid w:val="005A3837"/>
    <w:rsid w:val="005B5C42"/>
    <w:rsid w:val="005C246D"/>
    <w:rsid w:val="005C3170"/>
    <w:rsid w:val="005C475D"/>
    <w:rsid w:val="005C6444"/>
    <w:rsid w:val="005D0118"/>
    <w:rsid w:val="005D6341"/>
    <w:rsid w:val="005E1CFE"/>
    <w:rsid w:val="005E20C1"/>
    <w:rsid w:val="005E427F"/>
    <w:rsid w:val="005F2A3F"/>
    <w:rsid w:val="005F35B4"/>
    <w:rsid w:val="005F614E"/>
    <w:rsid w:val="005F61ED"/>
    <w:rsid w:val="00610DAE"/>
    <w:rsid w:val="006113FC"/>
    <w:rsid w:val="00611E50"/>
    <w:rsid w:val="006149E2"/>
    <w:rsid w:val="00616DCF"/>
    <w:rsid w:val="00617395"/>
    <w:rsid w:val="00617E8F"/>
    <w:rsid w:val="00621EA0"/>
    <w:rsid w:val="00623B71"/>
    <w:rsid w:val="006255B7"/>
    <w:rsid w:val="00630F56"/>
    <w:rsid w:val="006310A3"/>
    <w:rsid w:val="006319B2"/>
    <w:rsid w:val="006321A4"/>
    <w:rsid w:val="006347F0"/>
    <w:rsid w:val="00634C9C"/>
    <w:rsid w:val="00634F25"/>
    <w:rsid w:val="00636FB3"/>
    <w:rsid w:val="0064060B"/>
    <w:rsid w:val="00643BF6"/>
    <w:rsid w:val="00644B69"/>
    <w:rsid w:val="006452D1"/>
    <w:rsid w:val="00651426"/>
    <w:rsid w:val="006613AC"/>
    <w:rsid w:val="006624FC"/>
    <w:rsid w:val="00664968"/>
    <w:rsid w:val="006661C7"/>
    <w:rsid w:val="00666229"/>
    <w:rsid w:val="00666A55"/>
    <w:rsid w:val="00670026"/>
    <w:rsid w:val="00672521"/>
    <w:rsid w:val="00673C71"/>
    <w:rsid w:val="00674590"/>
    <w:rsid w:val="006826A6"/>
    <w:rsid w:val="00683210"/>
    <w:rsid w:val="00685F56"/>
    <w:rsid w:val="00692B7E"/>
    <w:rsid w:val="00697EB4"/>
    <w:rsid w:val="006A1965"/>
    <w:rsid w:val="006A2611"/>
    <w:rsid w:val="006A6CDC"/>
    <w:rsid w:val="006B0529"/>
    <w:rsid w:val="006B2A65"/>
    <w:rsid w:val="006B2CA4"/>
    <w:rsid w:val="006B7816"/>
    <w:rsid w:val="006B7979"/>
    <w:rsid w:val="006C5D3A"/>
    <w:rsid w:val="006C61E7"/>
    <w:rsid w:val="006C709A"/>
    <w:rsid w:val="006D07E9"/>
    <w:rsid w:val="006D12C7"/>
    <w:rsid w:val="006D3ADB"/>
    <w:rsid w:val="006D67F6"/>
    <w:rsid w:val="006D6B6D"/>
    <w:rsid w:val="006E0D8C"/>
    <w:rsid w:val="006E1C82"/>
    <w:rsid w:val="006E51FE"/>
    <w:rsid w:val="006E53D7"/>
    <w:rsid w:val="006E63AA"/>
    <w:rsid w:val="006E7287"/>
    <w:rsid w:val="006F22B1"/>
    <w:rsid w:val="006F2C86"/>
    <w:rsid w:val="006F37D6"/>
    <w:rsid w:val="006F4EED"/>
    <w:rsid w:val="006F50BB"/>
    <w:rsid w:val="006F7392"/>
    <w:rsid w:val="00704713"/>
    <w:rsid w:val="00705745"/>
    <w:rsid w:val="007062A2"/>
    <w:rsid w:val="00706F1A"/>
    <w:rsid w:val="00715F36"/>
    <w:rsid w:val="0072415C"/>
    <w:rsid w:val="007260E7"/>
    <w:rsid w:val="00730E75"/>
    <w:rsid w:val="007349E6"/>
    <w:rsid w:val="00736274"/>
    <w:rsid w:val="00744BA6"/>
    <w:rsid w:val="00745927"/>
    <w:rsid w:val="00750DFE"/>
    <w:rsid w:val="00751C19"/>
    <w:rsid w:val="00751C6C"/>
    <w:rsid w:val="0076144A"/>
    <w:rsid w:val="00761C85"/>
    <w:rsid w:val="0076222E"/>
    <w:rsid w:val="007627EB"/>
    <w:rsid w:val="0076301F"/>
    <w:rsid w:val="00763F28"/>
    <w:rsid w:val="0076613A"/>
    <w:rsid w:val="007707E6"/>
    <w:rsid w:val="007809ED"/>
    <w:rsid w:val="0078361A"/>
    <w:rsid w:val="007861B1"/>
    <w:rsid w:val="0078654F"/>
    <w:rsid w:val="00790B47"/>
    <w:rsid w:val="00792C04"/>
    <w:rsid w:val="007941BE"/>
    <w:rsid w:val="00795553"/>
    <w:rsid w:val="00795FFD"/>
    <w:rsid w:val="007961F8"/>
    <w:rsid w:val="007A29F8"/>
    <w:rsid w:val="007A5779"/>
    <w:rsid w:val="007A7747"/>
    <w:rsid w:val="007A790E"/>
    <w:rsid w:val="007B0FF5"/>
    <w:rsid w:val="007B3781"/>
    <w:rsid w:val="007B409C"/>
    <w:rsid w:val="007B40DC"/>
    <w:rsid w:val="007B5D0C"/>
    <w:rsid w:val="007B5FC1"/>
    <w:rsid w:val="007B6146"/>
    <w:rsid w:val="007B662C"/>
    <w:rsid w:val="007C066E"/>
    <w:rsid w:val="007D3685"/>
    <w:rsid w:val="007D77C7"/>
    <w:rsid w:val="007E11B0"/>
    <w:rsid w:val="007E737F"/>
    <w:rsid w:val="007E7FB0"/>
    <w:rsid w:val="007F3404"/>
    <w:rsid w:val="007F355B"/>
    <w:rsid w:val="007F4B59"/>
    <w:rsid w:val="008027CE"/>
    <w:rsid w:val="00804A48"/>
    <w:rsid w:val="00804CC6"/>
    <w:rsid w:val="00807EA1"/>
    <w:rsid w:val="0081296A"/>
    <w:rsid w:val="008158A4"/>
    <w:rsid w:val="00815A0E"/>
    <w:rsid w:val="00817ED6"/>
    <w:rsid w:val="0082202B"/>
    <w:rsid w:val="00822DC9"/>
    <w:rsid w:val="00823AF2"/>
    <w:rsid w:val="0082555C"/>
    <w:rsid w:val="008329DE"/>
    <w:rsid w:val="00832B1B"/>
    <w:rsid w:val="008412EF"/>
    <w:rsid w:val="00841FB6"/>
    <w:rsid w:val="008428E7"/>
    <w:rsid w:val="00842BC8"/>
    <w:rsid w:val="00842DCE"/>
    <w:rsid w:val="008441DC"/>
    <w:rsid w:val="00844D64"/>
    <w:rsid w:val="00844F38"/>
    <w:rsid w:val="00850F0B"/>
    <w:rsid w:val="0085350D"/>
    <w:rsid w:val="00856626"/>
    <w:rsid w:val="00862013"/>
    <w:rsid w:val="00864C1E"/>
    <w:rsid w:val="008754C0"/>
    <w:rsid w:val="00885957"/>
    <w:rsid w:val="008876F9"/>
    <w:rsid w:val="008937EB"/>
    <w:rsid w:val="00893E2A"/>
    <w:rsid w:val="00895418"/>
    <w:rsid w:val="00896990"/>
    <w:rsid w:val="008A2B66"/>
    <w:rsid w:val="008A314C"/>
    <w:rsid w:val="008A6450"/>
    <w:rsid w:val="008A6873"/>
    <w:rsid w:val="008B0F95"/>
    <w:rsid w:val="008B2335"/>
    <w:rsid w:val="008B2798"/>
    <w:rsid w:val="008B4135"/>
    <w:rsid w:val="008B5440"/>
    <w:rsid w:val="008B555A"/>
    <w:rsid w:val="008B5EA1"/>
    <w:rsid w:val="008B64D6"/>
    <w:rsid w:val="008D074A"/>
    <w:rsid w:val="008D40A7"/>
    <w:rsid w:val="008D4579"/>
    <w:rsid w:val="008E2198"/>
    <w:rsid w:val="008E66AF"/>
    <w:rsid w:val="008E72BD"/>
    <w:rsid w:val="008F1A4E"/>
    <w:rsid w:val="008F579C"/>
    <w:rsid w:val="008F622D"/>
    <w:rsid w:val="008F730C"/>
    <w:rsid w:val="00900C46"/>
    <w:rsid w:val="009030CA"/>
    <w:rsid w:val="00903195"/>
    <w:rsid w:val="0090404B"/>
    <w:rsid w:val="009064A2"/>
    <w:rsid w:val="009078B4"/>
    <w:rsid w:val="0091377D"/>
    <w:rsid w:val="00915A90"/>
    <w:rsid w:val="00920680"/>
    <w:rsid w:val="0092116E"/>
    <w:rsid w:val="00926645"/>
    <w:rsid w:val="00927894"/>
    <w:rsid w:val="00927960"/>
    <w:rsid w:val="00930040"/>
    <w:rsid w:val="00931475"/>
    <w:rsid w:val="0094079C"/>
    <w:rsid w:val="00941509"/>
    <w:rsid w:val="00942DE1"/>
    <w:rsid w:val="00950BB8"/>
    <w:rsid w:val="0095237B"/>
    <w:rsid w:val="00954F99"/>
    <w:rsid w:val="009563FF"/>
    <w:rsid w:val="0095678F"/>
    <w:rsid w:val="00956C22"/>
    <w:rsid w:val="00956D58"/>
    <w:rsid w:val="00960913"/>
    <w:rsid w:val="0096293F"/>
    <w:rsid w:val="0096427F"/>
    <w:rsid w:val="009707FA"/>
    <w:rsid w:val="00970F15"/>
    <w:rsid w:val="0097494E"/>
    <w:rsid w:val="00975015"/>
    <w:rsid w:val="0097638D"/>
    <w:rsid w:val="00980761"/>
    <w:rsid w:val="00980F5A"/>
    <w:rsid w:val="009836CF"/>
    <w:rsid w:val="0098474C"/>
    <w:rsid w:val="00984D71"/>
    <w:rsid w:val="00986950"/>
    <w:rsid w:val="00986F45"/>
    <w:rsid w:val="00987ACF"/>
    <w:rsid w:val="00992CB9"/>
    <w:rsid w:val="00994D68"/>
    <w:rsid w:val="00996DA5"/>
    <w:rsid w:val="009A3A2A"/>
    <w:rsid w:val="009A67A1"/>
    <w:rsid w:val="009A6A8C"/>
    <w:rsid w:val="009B1D13"/>
    <w:rsid w:val="009B6CEE"/>
    <w:rsid w:val="009C15AC"/>
    <w:rsid w:val="009C2A38"/>
    <w:rsid w:val="009C51E0"/>
    <w:rsid w:val="009C74C1"/>
    <w:rsid w:val="009D1456"/>
    <w:rsid w:val="009D2F5C"/>
    <w:rsid w:val="009D5C8B"/>
    <w:rsid w:val="009D6E26"/>
    <w:rsid w:val="009E113E"/>
    <w:rsid w:val="009E226E"/>
    <w:rsid w:val="009E389D"/>
    <w:rsid w:val="009F558C"/>
    <w:rsid w:val="009F700F"/>
    <w:rsid w:val="00A0157D"/>
    <w:rsid w:val="00A04D1F"/>
    <w:rsid w:val="00A1051E"/>
    <w:rsid w:val="00A12F34"/>
    <w:rsid w:val="00A155C2"/>
    <w:rsid w:val="00A15C60"/>
    <w:rsid w:val="00A17560"/>
    <w:rsid w:val="00A17E3E"/>
    <w:rsid w:val="00A2076B"/>
    <w:rsid w:val="00A20EA6"/>
    <w:rsid w:val="00A23FB4"/>
    <w:rsid w:val="00A32710"/>
    <w:rsid w:val="00A334F7"/>
    <w:rsid w:val="00A34C5E"/>
    <w:rsid w:val="00A36B3E"/>
    <w:rsid w:val="00A3766D"/>
    <w:rsid w:val="00A40FBA"/>
    <w:rsid w:val="00A41195"/>
    <w:rsid w:val="00A432EF"/>
    <w:rsid w:val="00A4696D"/>
    <w:rsid w:val="00A567E6"/>
    <w:rsid w:val="00A62E56"/>
    <w:rsid w:val="00A63ED9"/>
    <w:rsid w:val="00A70674"/>
    <w:rsid w:val="00A82924"/>
    <w:rsid w:val="00A9230F"/>
    <w:rsid w:val="00AA1E54"/>
    <w:rsid w:val="00AB00D4"/>
    <w:rsid w:val="00AB6FFB"/>
    <w:rsid w:val="00AC6675"/>
    <w:rsid w:val="00AD04E4"/>
    <w:rsid w:val="00AD27AC"/>
    <w:rsid w:val="00AD5612"/>
    <w:rsid w:val="00AE3CF4"/>
    <w:rsid w:val="00AE532F"/>
    <w:rsid w:val="00AE589A"/>
    <w:rsid w:val="00AF1324"/>
    <w:rsid w:val="00AF3150"/>
    <w:rsid w:val="00B06AF8"/>
    <w:rsid w:val="00B20B7A"/>
    <w:rsid w:val="00B2462D"/>
    <w:rsid w:val="00B251F8"/>
    <w:rsid w:val="00B34696"/>
    <w:rsid w:val="00B34890"/>
    <w:rsid w:val="00B35E88"/>
    <w:rsid w:val="00B3761A"/>
    <w:rsid w:val="00B4171C"/>
    <w:rsid w:val="00B418FB"/>
    <w:rsid w:val="00B41D69"/>
    <w:rsid w:val="00B4208D"/>
    <w:rsid w:val="00B43701"/>
    <w:rsid w:val="00B43EA2"/>
    <w:rsid w:val="00B453A4"/>
    <w:rsid w:val="00B5093C"/>
    <w:rsid w:val="00B50BEC"/>
    <w:rsid w:val="00B530A8"/>
    <w:rsid w:val="00B547CB"/>
    <w:rsid w:val="00B54A22"/>
    <w:rsid w:val="00B570F9"/>
    <w:rsid w:val="00B61E91"/>
    <w:rsid w:val="00B63666"/>
    <w:rsid w:val="00B63CFD"/>
    <w:rsid w:val="00B67179"/>
    <w:rsid w:val="00B671C6"/>
    <w:rsid w:val="00B74E6A"/>
    <w:rsid w:val="00B83090"/>
    <w:rsid w:val="00B91D9F"/>
    <w:rsid w:val="00B93A04"/>
    <w:rsid w:val="00B96BE4"/>
    <w:rsid w:val="00B9721F"/>
    <w:rsid w:val="00BA1E46"/>
    <w:rsid w:val="00BA3025"/>
    <w:rsid w:val="00BA4D13"/>
    <w:rsid w:val="00BA58F7"/>
    <w:rsid w:val="00BB067B"/>
    <w:rsid w:val="00BB4716"/>
    <w:rsid w:val="00BB49DD"/>
    <w:rsid w:val="00BB55C7"/>
    <w:rsid w:val="00BB5E73"/>
    <w:rsid w:val="00BC1FC3"/>
    <w:rsid w:val="00BC36C1"/>
    <w:rsid w:val="00BC6209"/>
    <w:rsid w:val="00BD3B75"/>
    <w:rsid w:val="00BD7774"/>
    <w:rsid w:val="00BE319B"/>
    <w:rsid w:val="00BE684E"/>
    <w:rsid w:val="00BF1273"/>
    <w:rsid w:val="00BF1832"/>
    <w:rsid w:val="00C0334D"/>
    <w:rsid w:val="00C078D6"/>
    <w:rsid w:val="00C117EB"/>
    <w:rsid w:val="00C11EBD"/>
    <w:rsid w:val="00C21269"/>
    <w:rsid w:val="00C23245"/>
    <w:rsid w:val="00C24306"/>
    <w:rsid w:val="00C264BF"/>
    <w:rsid w:val="00C27E81"/>
    <w:rsid w:val="00C30AF5"/>
    <w:rsid w:val="00C41FA9"/>
    <w:rsid w:val="00C430C8"/>
    <w:rsid w:val="00C4422C"/>
    <w:rsid w:val="00C443C7"/>
    <w:rsid w:val="00C44C76"/>
    <w:rsid w:val="00C518E9"/>
    <w:rsid w:val="00C53C2A"/>
    <w:rsid w:val="00C54AD9"/>
    <w:rsid w:val="00C565C1"/>
    <w:rsid w:val="00C57BB1"/>
    <w:rsid w:val="00C65382"/>
    <w:rsid w:val="00C76729"/>
    <w:rsid w:val="00C8029F"/>
    <w:rsid w:val="00C81CA0"/>
    <w:rsid w:val="00C849C1"/>
    <w:rsid w:val="00C922A7"/>
    <w:rsid w:val="00C94BE4"/>
    <w:rsid w:val="00CA2AF7"/>
    <w:rsid w:val="00CA377E"/>
    <w:rsid w:val="00CA3FA3"/>
    <w:rsid w:val="00CA5471"/>
    <w:rsid w:val="00CB12DE"/>
    <w:rsid w:val="00CB18DA"/>
    <w:rsid w:val="00CB20AB"/>
    <w:rsid w:val="00CB3453"/>
    <w:rsid w:val="00CB4F78"/>
    <w:rsid w:val="00CC03C8"/>
    <w:rsid w:val="00CC148F"/>
    <w:rsid w:val="00CC7F07"/>
    <w:rsid w:val="00CD0744"/>
    <w:rsid w:val="00CD26B4"/>
    <w:rsid w:val="00CD2B74"/>
    <w:rsid w:val="00CD602C"/>
    <w:rsid w:val="00CE1CE6"/>
    <w:rsid w:val="00CE1D9F"/>
    <w:rsid w:val="00CE2063"/>
    <w:rsid w:val="00CE38C0"/>
    <w:rsid w:val="00CE42E2"/>
    <w:rsid w:val="00CF7B70"/>
    <w:rsid w:val="00D02B24"/>
    <w:rsid w:val="00D079E9"/>
    <w:rsid w:val="00D07E50"/>
    <w:rsid w:val="00D10392"/>
    <w:rsid w:val="00D11608"/>
    <w:rsid w:val="00D117F5"/>
    <w:rsid w:val="00D11874"/>
    <w:rsid w:val="00D11E34"/>
    <w:rsid w:val="00D12C92"/>
    <w:rsid w:val="00D14512"/>
    <w:rsid w:val="00D1507D"/>
    <w:rsid w:val="00D162BB"/>
    <w:rsid w:val="00D17F0B"/>
    <w:rsid w:val="00D2011D"/>
    <w:rsid w:val="00D2244D"/>
    <w:rsid w:val="00D22BA2"/>
    <w:rsid w:val="00D27EDC"/>
    <w:rsid w:val="00D31569"/>
    <w:rsid w:val="00D328F9"/>
    <w:rsid w:val="00D32D51"/>
    <w:rsid w:val="00D3382D"/>
    <w:rsid w:val="00D33A1C"/>
    <w:rsid w:val="00D3477E"/>
    <w:rsid w:val="00D35F67"/>
    <w:rsid w:val="00D37140"/>
    <w:rsid w:val="00D4102B"/>
    <w:rsid w:val="00D41F87"/>
    <w:rsid w:val="00D42778"/>
    <w:rsid w:val="00D53BDA"/>
    <w:rsid w:val="00D5407F"/>
    <w:rsid w:val="00D55E50"/>
    <w:rsid w:val="00D56A89"/>
    <w:rsid w:val="00D62DE4"/>
    <w:rsid w:val="00D70229"/>
    <w:rsid w:val="00D716B5"/>
    <w:rsid w:val="00D72769"/>
    <w:rsid w:val="00D72E0D"/>
    <w:rsid w:val="00D730DB"/>
    <w:rsid w:val="00D7787E"/>
    <w:rsid w:val="00D81591"/>
    <w:rsid w:val="00D87472"/>
    <w:rsid w:val="00D87D9E"/>
    <w:rsid w:val="00D90A2E"/>
    <w:rsid w:val="00D9110C"/>
    <w:rsid w:val="00D914EF"/>
    <w:rsid w:val="00D9199A"/>
    <w:rsid w:val="00D92612"/>
    <w:rsid w:val="00D9506E"/>
    <w:rsid w:val="00DA0255"/>
    <w:rsid w:val="00DA235B"/>
    <w:rsid w:val="00DA4040"/>
    <w:rsid w:val="00DA772F"/>
    <w:rsid w:val="00DB2AC9"/>
    <w:rsid w:val="00DB3870"/>
    <w:rsid w:val="00DC137E"/>
    <w:rsid w:val="00DC2953"/>
    <w:rsid w:val="00DC389C"/>
    <w:rsid w:val="00DD29CB"/>
    <w:rsid w:val="00DD63BC"/>
    <w:rsid w:val="00DE09FF"/>
    <w:rsid w:val="00DE5D5C"/>
    <w:rsid w:val="00DE5F6A"/>
    <w:rsid w:val="00DE6544"/>
    <w:rsid w:val="00DF4730"/>
    <w:rsid w:val="00DF74D5"/>
    <w:rsid w:val="00E0162A"/>
    <w:rsid w:val="00E04082"/>
    <w:rsid w:val="00E05306"/>
    <w:rsid w:val="00E07A40"/>
    <w:rsid w:val="00E1047C"/>
    <w:rsid w:val="00E132AA"/>
    <w:rsid w:val="00E13F86"/>
    <w:rsid w:val="00E14601"/>
    <w:rsid w:val="00E20C4E"/>
    <w:rsid w:val="00E23AF7"/>
    <w:rsid w:val="00E27158"/>
    <w:rsid w:val="00E40DB7"/>
    <w:rsid w:val="00E4140F"/>
    <w:rsid w:val="00E47545"/>
    <w:rsid w:val="00E50066"/>
    <w:rsid w:val="00E52CD6"/>
    <w:rsid w:val="00E54DFB"/>
    <w:rsid w:val="00E57228"/>
    <w:rsid w:val="00E6118B"/>
    <w:rsid w:val="00E61C03"/>
    <w:rsid w:val="00E62215"/>
    <w:rsid w:val="00E62D58"/>
    <w:rsid w:val="00E655F8"/>
    <w:rsid w:val="00E67375"/>
    <w:rsid w:val="00E76877"/>
    <w:rsid w:val="00E829DA"/>
    <w:rsid w:val="00E82D56"/>
    <w:rsid w:val="00E85395"/>
    <w:rsid w:val="00E865E3"/>
    <w:rsid w:val="00E8747A"/>
    <w:rsid w:val="00E9052A"/>
    <w:rsid w:val="00E95009"/>
    <w:rsid w:val="00E95A63"/>
    <w:rsid w:val="00EA0F66"/>
    <w:rsid w:val="00EA5414"/>
    <w:rsid w:val="00EA5858"/>
    <w:rsid w:val="00EB408E"/>
    <w:rsid w:val="00EB4D8C"/>
    <w:rsid w:val="00EB5BD2"/>
    <w:rsid w:val="00EB7792"/>
    <w:rsid w:val="00EB7CF6"/>
    <w:rsid w:val="00EC026A"/>
    <w:rsid w:val="00EC0F48"/>
    <w:rsid w:val="00EC2A8F"/>
    <w:rsid w:val="00EC7246"/>
    <w:rsid w:val="00ED1839"/>
    <w:rsid w:val="00ED4C10"/>
    <w:rsid w:val="00ED692E"/>
    <w:rsid w:val="00ED7B81"/>
    <w:rsid w:val="00EE1D5F"/>
    <w:rsid w:val="00EE2910"/>
    <w:rsid w:val="00EE402D"/>
    <w:rsid w:val="00EE5ABF"/>
    <w:rsid w:val="00EE6717"/>
    <w:rsid w:val="00EF70B9"/>
    <w:rsid w:val="00F07CF6"/>
    <w:rsid w:val="00F11677"/>
    <w:rsid w:val="00F11E42"/>
    <w:rsid w:val="00F21974"/>
    <w:rsid w:val="00F22322"/>
    <w:rsid w:val="00F22DC4"/>
    <w:rsid w:val="00F2387E"/>
    <w:rsid w:val="00F24A24"/>
    <w:rsid w:val="00F24EFB"/>
    <w:rsid w:val="00F279E5"/>
    <w:rsid w:val="00F27EA9"/>
    <w:rsid w:val="00F33A4A"/>
    <w:rsid w:val="00F33EC9"/>
    <w:rsid w:val="00F34468"/>
    <w:rsid w:val="00F344D4"/>
    <w:rsid w:val="00F3458C"/>
    <w:rsid w:val="00F36D2D"/>
    <w:rsid w:val="00F4174E"/>
    <w:rsid w:val="00F47E6B"/>
    <w:rsid w:val="00F5221F"/>
    <w:rsid w:val="00F53E5A"/>
    <w:rsid w:val="00F555EB"/>
    <w:rsid w:val="00F60E7C"/>
    <w:rsid w:val="00F60FC6"/>
    <w:rsid w:val="00F65BE5"/>
    <w:rsid w:val="00F664F9"/>
    <w:rsid w:val="00F73B94"/>
    <w:rsid w:val="00F74488"/>
    <w:rsid w:val="00F826ED"/>
    <w:rsid w:val="00F84503"/>
    <w:rsid w:val="00F84C24"/>
    <w:rsid w:val="00F854FB"/>
    <w:rsid w:val="00F908D9"/>
    <w:rsid w:val="00F90BF1"/>
    <w:rsid w:val="00F9115C"/>
    <w:rsid w:val="00F95B81"/>
    <w:rsid w:val="00F95FCB"/>
    <w:rsid w:val="00F9744A"/>
    <w:rsid w:val="00FA13AF"/>
    <w:rsid w:val="00FA244F"/>
    <w:rsid w:val="00FA3AB1"/>
    <w:rsid w:val="00FA58A8"/>
    <w:rsid w:val="00FA65BE"/>
    <w:rsid w:val="00FB1755"/>
    <w:rsid w:val="00FB537D"/>
    <w:rsid w:val="00FB5398"/>
    <w:rsid w:val="00FB7887"/>
    <w:rsid w:val="00FC0674"/>
    <w:rsid w:val="00FC20DD"/>
    <w:rsid w:val="00FC4420"/>
    <w:rsid w:val="00FC5B71"/>
    <w:rsid w:val="00FD01CD"/>
    <w:rsid w:val="00FD147B"/>
    <w:rsid w:val="00FD4C4D"/>
    <w:rsid w:val="00FE0DBA"/>
    <w:rsid w:val="00FE1C2B"/>
    <w:rsid w:val="00FF079D"/>
    <w:rsid w:val="00FF1BE6"/>
    <w:rsid w:val="010803B6"/>
    <w:rsid w:val="019538F2"/>
    <w:rsid w:val="01CC40FE"/>
    <w:rsid w:val="01D4492D"/>
    <w:rsid w:val="021821C3"/>
    <w:rsid w:val="03A44D8F"/>
    <w:rsid w:val="03A93BDF"/>
    <w:rsid w:val="046D08E2"/>
    <w:rsid w:val="051E5CE4"/>
    <w:rsid w:val="0582638F"/>
    <w:rsid w:val="073A0EAF"/>
    <w:rsid w:val="089D117A"/>
    <w:rsid w:val="08DF49F8"/>
    <w:rsid w:val="094E7A1B"/>
    <w:rsid w:val="09CB15A9"/>
    <w:rsid w:val="09FA5A54"/>
    <w:rsid w:val="0A034EF5"/>
    <w:rsid w:val="0B10385A"/>
    <w:rsid w:val="0C33367E"/>
    <w:rsid w:val="0C7F4E2A"/>
    <w:rsid w:val="0D1B1290"/>
    <w:rsid w:val="0D9E4BE5"/>
    <w:rsid w:val="0E455049"/>
    <w:rsid w:val="0F0A0B46"/>
    <w:rsid w:val="0F6F3C52"/>
    <w:rsid w:val="10C8632E"/>
    <w:rsid w:val="119C00DF"/>
    <w:rsid w:val="11D17964"/>
    <w:rsid w:val="12087315"/>
    <w:rsid w:val="12B9288A"/>
    <w:rsid w:val="144B38F1"/>
    <w:rsid w:val="147B0724"/>
    <w:rsid w:val="149A3EA5"/>
    <w:rsid w:val="160B3FDA"/>
    <w:rsid w:val="165948E1"/>
    <w:rsid w:val="1668601C"/>
    <w:rsid w:val="16A41C18"/>
    <w:rsid w:val="16AC1E85"/>
    <w:rsid w:val="16D12162"/>
    <w:rsid w:val="16E352B4"/>
    <w:rsid w:val="175478E1"/>
    <w:rsid w:val="178D3649"/>
    <w:rsid w:val="18B907FB"/>
    <w:rsid w:val="19DC1DCB"/>
    <w:rsid w:val="1A004298"/>
    <w:rsid w:val="1A4F61AF"/>
    <w:rsid w:val="1A616DC1"/>
    <w:rsid w:val="1CA736B1"/>
    <w:rsid w:val="1D403AEA"/>
    <w:rsid w:val="1D8A2F90"/>
    <w:rsid w:val="1DD6475C"/>
    <w:rsid w:val="1EC023D8"/>
    <w:rsid w:val="1F480C52"/>
    <w:rsid w:val="203712E1"/>
    <w:rsid w:val="20B2042F"/>
    <w:rsid w:val="22DB448F"/>
    <w:rsid w:val="22E4097E"/>
    <w:rsid w:val="23BD7562"/>
    <w:rsid w:val="23D71B43"/>
    <w:rsid w:val="246D09AE"/>
    <w:rsid w:val="25B31ABA"/>
    <w:rsid w:val="25C72B39"/>
    <w:rsid w:val="26965F0B"/>
    <w:rsid w:val="271B1192"/>
    <w:rsid w:val="28020C45"/>
    <w:rsid w:val="28901CA0"/>
    <w:rsid w:val="28B24B96"/>
    <w:rsid w:val="29603FCA"/>
    <w:rsid w:val="29891F46"/>
    <w:rsid w:val="29F33914"/>
    <w:rsid w:val="2A723B81"/>
    <w:rsid w:val="2B3418CA"/>
    <w:rsid w:val="2C6939C0"/>
    <w:rsid w:val="2CB43A87"/>
    <w:rsid w:val="2CF8514D"/>
    <w:rsid w:val="2D0D0F9A"/>
    <w:rsid w:val="2E1C33E0"/>
    <w:rsid w:val="2E9C6C6F"/>
    <w:rsid w:val="2EA82F57"/>
    <w:rsid w:val="303D3344"/>
    <w:rsid w:val="30F2369C"/>
    <w:rsid w:val="31E6345A"/>
    <w:rsid w:val="32537CAD"/>
    <w:rsid w:val="328E78C2"/>
    <w:rsid w:val="32C524DE"/>
    <w:rsid w:val="32C5329E"/>
    <w:rsid w:val="336175EB"/>
    <w:rsid w:val="33792A28"/>
    <w:rsid w:val="338C1E23"/>
    <w:rsid w:val="33CC74DE"/>
    <w:rsid w:val="34193AD6"/>
    <w:rsid w:val="34FD712B"/>
    <w:rsid w:val="35BE77D3"/>
    <w:rsid w:val="362D114F"/>
    <w:rsid w:val="3692657B"/>
    <w:rsid w:val="36D03F41"/>
    <w:rsid w:val="376D2A46"/>
    <w:rsid w:val="37BD27A7"/>
    <w:rsid w:val="3888393C"/>
    <w:rsid w:val="39F37B9A"/>
    <w:rsid w:val="3A663306"/>
    <w:rsid w:val="3A68126B"/>
    <w:rsid w:val="3B7D5053"/>
    <w:rsid w:val="3BE65E54"/>
    <w:rsid w:val="3C697688"/>
    <w:rsid w:val="3C927625"/>
    <w:rsid w:val="3D066200"/>
    <w:rsid w:val="3E7E57D7"/>
    <w:rsid w:val="3FB835CE"/>
    <w:rsid w:val="40616D50"/>
    <w:rsid w:val="411B515D"/>
    <w:rsid w:val="412128C9"/>
    <w:rsid w:val="414801C5"/>
    <w:rsid w:val="41837255"/>
    <w:rsid w:val="41A0142C"/>
    <w:rsid w:val="41DE1924"/>
    <w:rsid w:val="41DF59E2"/>
    <w:rsid w:val="4345710E"/>
    <w:rsid w:val="43D02AF1"/>
    <w:rsid w:val="45173989"/>
    <w:rsid w:val="46033F26"/>
    <w:rsid w:val="46C36E31"/>
    <w:rsid w:val="475D457A"/>
    <w:rsid w:val="47781BFB"/>
    <w:rsid w:val="47A56790"/>
    <w:rsid w:val="486F237F"/>
    <w:rsid w:val="48DD62BF"/>
    <w:rsid w:val="4989527D"/>
    <w:rsid w:val="49925D56"/>
    <w:rsid w:val="4BF621EC"/>
    <w:rsid w:val="4CA800CC"/>
    <w:rsid w:val="4DA15215"/>
    <w:rsid w:val="4DC52A69"/>
    <w:rsid w:val="4DF63BD0"/>
    <w:rsid w:val="4E27049A"/>
    <w:rsid w:val="4E811840"/>
    <w:rsid w:val="4F426282"/>
    <w:rsid w:val="5021770B"/>
    <w:rsid w:val="50433CA9"/>
    <w:rsid w:val="529A34BD"/>
    <w:rsid w:val="54122823"/>
    <w:rsid w:val="54EF7443"/>
    <w:rsid w:val="55985F93"/>
    <w:rsid w:val="561A437B"/>
    <w:rsid w:val="564476CC"/>
    <w:rsid w:val="565B38BD"/>
    <w:rsid w:val="576C04C1"/>
    <w:rsid w:val="57884587"/>
    <w:rsid w:val="58194C6E"/>
    <w:rsid w:val="58C43C0F"/>
    <w:rsid w:val="58F07F43"/>
    <w:rsid w:val="59132BBC"/>
    <w:rsid w:val="598E709C"/>
    <w:rsid w:val="59D356BB"/>
    <w:rsid w:val="5A3404A2"/>
    <w:rsid w:val="5B4C755B"/>
    <w:rsid w:val="5BE66210"/>
    <w:rsid w:val="5DC5032A"/>
    <w:rsid w:val="5E06519A"/>
    <w:rsid w:val="5EA31DC4"/>
    <w:rsid w:val="5EDE44A2"/>
    <w:rsid w:val="5F8464D9"/>
    <w:rsid w:val="5FCD4349"/>
    <w:rsid w:val="601279E5"/>
    <w:rsid w:val="607D5E9A"/>
    <w:rsid w:val="617603B1"/>
    <w:rsid w:val="630217F1"/>
    <w:rsid w:val="63A078A4"/>
    <w:rsid w:val="6400218D"/>
    <w:rsid w:val="648F59FC"/>
    <w:rsid w:val="65341B27"/>
    <w:rsid w:val="670A15D6"/>
    <w:rsid w:val="673767FA"/>
    <w:rsid w:val="676409E2"/>
    <w:rsid w:val="681832E7"/>
    <w:rsid w:val="683256BE"/>
    <w:rsid w:val="699E3590"/>
    <w:rsid w:val="6A6842AA"/>
    <w:rsid w:val="6AA8451B"/>
    <w:rsid w:val="6B414FDD"/>
    <w:rsid w:val="6B416BEC"/>
    <w:rsid w:val="6CE47D45"/>
    <w:rsid w:val="6D0708BA"/>
    <w:rsid w:val="6E2C1119"/>
    <w:rsid w:val="6E890F9A"/>
    <w:rsid w:val="6EC77ED9"/>
    <w:rsid w:val="6F0920B4"/>
    <w:rsid w:val="70230376"/>
    <w:rsid w:val="70615B40"/>
    <w:rsid w:val="71AC1455"/>
    <w:rsid w:val="71AF341C"/>
    <w:rsid w:val="71F371EF"/>
    <w:rsid w:val="730A4F2C"/>
    <w:rsid w:val="75074DF7"/>
    <w:rsid w:val="75684B94"/>
    <w:rsid w:val="771A610E"/>
    <w:rsid w:val="77A12843"/>
    <w:rsid w:val="77EF17E0"/>
    <w:rsid w:val="79215CF6"/>
    <w:rsid w:val="796315D2"/>
    <w:rsid w:val="7BBF4046"/>
    <w:rsid w:val="7C5F3746"/>
    <w:rsid w:val="7CAC1E96"/>
    <w:rsid w:val="7CB40EF9"/>
    <w:rsid w:val="7D0D0ED8"/>
    <w:rsid w:val="7DED0A3E"/>
    <w:rsid w:val="7E6D11DC"/>
    <w:rsid w:val="7EB97843"/>
    <w:rsid w:val="7F0642EA"/>
    <w:rsid w:val="7FF435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iPriority="0" w:name="toc 4" w:locked="1"/>
    <w:lsdException w:uiPriority="0" w:name="toc 5" w:locked="1"/>
    <w:lsdException w:uiPriority="0" w:name="toc 6" w:locked="1"/>
    <w:lsdException w:uiPriority="0" w:name="toc 7" w:locked="1"/>
    <w:lsdException w:uiPriority="0" w:name="toc 8" w:locked="1"/>
    <w:lsdException w:qFormat="1" w:unhideWhenUsed="0" w:uiPriority="0" w:name="toc 9" w:locked="1"/>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9"/>
    <w:pPr>
      <w:keepNext/>
      <w:widowControl/>
      <w:numPr>
        <w:ilvl w:val="0"/>
        <w:numId w:val="1"/>
      </w:numPr>
      <w:spacing w:line="360" w:lineRule="auto"/>
      <w:jc w:val="center"/>
      <w:outlineLvl w:val="0"/>
    </w:pPr>
    <w:rPr>
      <w:rFonts w:ascii="Cambria" w:hAnsi="Cambria" w:eastAsia="黑体"/>
      <w:b/>
      <w:bCs/>
      <w:kern w:val="32"/>
      <w:sz w:val="32"/>
      <w:szCs w:val="32"/>
    </w:rPr>
  </w:style>
  <w:style w:type="paragraph" w:styleId="3">
    <w:name w:val="heading 2"/>
    <w:basedOn w:val="1"/>
    <w:next w:val="1"/>
    <w:link w:val="31"/>
    <w:qFormat/>
    <w:uiPriority w:val="99"/>
    <w:pPr>
      <w:keepNext/>
      <w:widowControl/>
      <w:numPr>
        <w:ilvl w:val="1"/>
        <w:numId w:val="1"/>
      </w:numPr>
      <w:spacing w:line="360" w:lineRule="auto"/>
      <w:jc w:val="center"/>
      <w:outlineLvl w:val="1"/>
    </w:pPr>
    <w:rPr>
      <w:rFonts w:ascii="Cambria" w:hAnsi="Cambria" w:eastAsia="黑体"/>
      <w:b/>
      <w:bCs/>
      <w:iCs/>
      <w:kern w:val="0"/>
      <w:sz w:val="32"/>
      <w:szCs w:val="28"/>
    </w:rPr>
  </w:style>
  <w:style w:type="paragraph" w:styleId="4">
    <w:name w:val="heading 3"/>
    <w:basedOn w:val="1"/>
    <w:next w:val="1"/>
    <w:link w:val="32"/>
    <w:qFormat/>
    <w:uiPriority w:val="99"/>
    <w:pPr>
      <w:keepNext/>
      <w:widowControl/>
      <w:jc w:val="left"/>
      <w:outlineLvl w:val="2"/>
    </w:pPr>
    <w:rPr>
      <w:rFonts w:ascii="Cambria" w:hAnsi="Cambria"/>
      <w:b/>
      <w:bCs/>
      <w:kern w:val="0"/>
      <w:szCs w:val="26"/>
    </w:rPr>
  </w:style>
  <w:style w:type="paragraph" w:styleId="5">
    <w:name w:val="heading 4"/>
    <w:basedOn w:val="1"/>
    <w:next w:val="1"/>
    <w:link w:val="49"/>
    <w:unhideWhenUsed/>
    <w:qFormat/>
    <w:locked/>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33"/>
    <w:qFormat/>
    <w:uiPriority w:val="99"/>
    <w:pPr>
      <w:widowControl/>
      <w:numPr>
        <w:ilvl w:val="4"/>
        <w:numId w:val="1"/>
      </w:numPr>
      <w:spacing w:before="240" w:after="60" w:line="360" w:lineRule="auto"/>
      <w:jc w:val="left"/>
      <w:outlineLvl w:val="4"/>
    </w:pPr>
    <w:rPr>
      <w:rFonts w:ascii="宋体" w:hAnsi="宋体"/>
      <w:b/>
      <w:bCs/>
      <w:i/>
      <w:iCs/>
      <w:kern w:val="0"/>
      <w:sz w:val="26"/>
      <w:szCs w:val="26"/>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9"/>
    <w:qFormat/>
    <w:uiPriority w:val="99"/>
    <w:pPr>
      <w:widowControl/>
      <w:adjustRightInd w:val="0"/>
      <w:spacing w:line="360" w:lineRule="auto"/>
      <w:ind w:firstLine="420"/>
      <w:jc w:val="left"/>
      <w:textAlignment w:val="baseline"/>
    </w:pPr>
    <w:rPr>
      <w:rFonts w:ascii="Calibri" w:hAnsi="Calibri"/>
      <w:kern w:val="0"/>
      <w:sz w:val="20"/>
      <w:szCs w:val="20"/>
    </w:rPr>
  </w:style>
  <w:style w:type="paragraph" w:styleId="8">
    <w:name w:val="annotation text"/>
    <w:basedOn w:val="1"/>
    <w:link w:val="57"/>
    <w:unhideWhenUsed/>
    <w:qFormat/>
    <w:uiPriority w:val="0"/>
    <w:pPr>
      <w:jc w:val="left"/>
    </w:pPr>
  </w:style>
  <w:style w:type="paragraph" w:styleId="9">
    <w:name w:val="Body Text Indent"/>
    <w:basedOn w:val="1"/>
    <w:link w:val="53"/>
    <w:qFormat/>
    <w:uiPriority w:val="0"/>
    <w:pPr>
      <w:spacing w:after="120"/>
      <w:ind w:left="420" w:leftChars="200"/>
    </w:pPr>
  </w:style>
  <w:style w:type="paragraph" w:styleId="10">
    <w:name w:val="Block Text"/>
    <w:basedOn w:val="1"/>
    <w:qFormat/>
    <w:uiPriority w:val="99"/>
    <w:pPr>
      <w:spacing w:after="156"/>
    </w:pPr>
    <w:rPr>
      <w:rFonts w:ascii="宋体" w:hAnsi="Calibri"/>
      <w:szCs w:val="22"/>
    </w:rPr>
  </w:style>
  <w:style w:type="paragraph" w:styleId="11">
    <w:name w:val="toc 3"/>
    <w:basedOn w:val="1"/>
    <w:next w:val="1"/>
    <w:unhideWhenUsed/>
    <w:qFormat/>
    <w:locked/>
    <w:uiPriority w:val="39"/>
    <w:pPr>
      <w:widowControl/>
      <w:spacing w:after="100" w:line="276" w:lineRule="auto"/>
      <w:ind w:left="440"/>
      <w:jc w:val="left"/>
    </w:pPr>
    <w:rPr>
      <w:rFonts w:ascii="Calibri" w:hAnsi="Calibri"/>
      <w:kern w:val="0"/>
      <w:sz w:val="22"/>
      <w:szCs w:val="22"/>
    </w:rPr>
  </w:style>
  <w:style w:type="paragraph" w:styleId="12">
    <w:name w:val="Plain Text"/>
    <w:basedOn w:val="1"/>
    <w:link w:val="52"/>
    <w:qFormat/>
    <w:uiPriority w:val="0"/>
    <w:rPr>
      <w:rFonts w:ascii="宋体" w:hAnsi="Courier New"/>
      <w:szCs w:val="20"/>
    </w:rPr>
  </w:style>
  <w:style w:type="paragraph" w:styleId="13">
    <w:name w:val="Date"/>
    <w:basedOn w:val="1"/>
    <w:next w:val="1"/>
    <w:link w:val="34"/>
    <w:qFormat/>
    <w:uiPriority w:val="0"/>
    <w:pPr>
      <w:ind w:left="100" w:leftChars="2500"/>
    </w:pPr>
  </w:style>
  <w:style w:type="paragraph" w:styleId="14">
    <w:name w:val="Body Text Indent 2"/>
    <w:basedOn w:val="1"/>
    <w:link w:val="54"/>
    <w:qFormat/>
    <w:uiPriority w:val="0"/>
    <w:pPr>
      <w:spacing w:after="120" w:line="480" w:lineRule="auto"/>
      <w:ind w:left="420" w:leftChars="200"/>
    </w:pPr>
  </w:style>
  <w:style w:type="paragraph" w:styleId="15">
    <w:name w:val="Balloon Text"/>
    <w:basedOn w:val="1"/>
    <w:link w:val="42"/>
    <w:semiHidden/>
    <w:qFormat/>
    <w:uiPriority w:val="99"/>
    <w:rPr>
      <w:sz w:val="18"/>
      <w:szCs w:val="18"/>
    </w:rPr>
  </w:style>
  <w:style w:type="paragraph" w:styleId="16">
    <w:name w:val="footer"/>
    <w:basedOn w:val="1"/>
    <w:link w:val="35"/>
    <w:qFormat/>
    <w:uiPriority w:val="99"/>
    <w:pPr>
      <w:tabs>
        <w:tab w:val="center" w:pos="4153"/>
        <w:tab w:val="right" w:pos="8306"/>
      </w:tabs>
      <w:snapToGrid w:val="0"/>
      <w:jc w:val="left"/>
    </w:pPr>
    <w:rPr>
      <w:sz w:val="18"/>
      <w:szCs w:val="18"/>
    </w:rPr>
  </w:style>
  <w:style w:type="paragraph" w:styleId="17">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locked/>
    <w:uiPriority w:val="39"/>
    <w:pPr>
      <w:widowControl/>
      <w:spacing w:after="100" w:line="276" w:lineRule="auto"/>
      <w:jc w:val="left"/>
    </w:pPr>
    <w:rPr>
      <w:rFonts w:ascii="Calibri" w:hAnsi="Calibri"/>
      <w:kern w:val="0"/>
      <w:sz w:val="22"/>
      <w:szCs w:val="22"/>
    </w:rPr>
  </w:style>
  <w:style w:type="paragraph" w:styleId="19">
    <w:name w:val="toc 2"/>
    <w:basedOn w:val="1"/>
    <w:next w:val="1"/>
    <w:unhideWhenUsed/>
    <w:qFormat/>
    <w:locked/>
    <w:uiPriority w:val="39"/>
    <w:pPr>
      <w:widowControl/>
      <w:spacing w:after="100" w:line="276" w:lineRule="auto"/>
      <w:ind w:left="220"/>
      <w:jc w:val="left"/>
    </w:pPr>
    <w:rPr>
      <w:rFonts w:ascii="Calibri" w:hAnsi="Calibri"/>
      <w:kern w:val="0"/>
      <w:sz w:val="22"/>
      <w:szCs w:val="22"/>
    </w:rPr>
  </w:style>
  <w:style w:type="paragraph" w:styleId="20">
    <w:name w:val="toc 9"/>
    <w:basedOn w:val="1"/>
    <w:next w:val="1"/>
    <w:semiHidden/>
    <w:qFormat/>
    <w:locked/>
    <w:uiPriority w:val="0"/>
    <w:pPr>
      <w:ind w:left="3360" w:leftChars="1600"/>
    </w:pPr>
  </w:style>
  <w:style w:type="paragraph" w:styleId="21">
    <w:name w:val="Normal (Web)"/>
    <w:basedOn w:val="1"/>
    <w:qFormat/>
    <w:uiPriority w:val="99"/>
    <w:pPr>
      <w:widowControl/>
      <w:spacing w:before="100" w:beforeAutospacing="1" w:after="100" w:afterAutospacing="1"/>
      <w:jc w:val="left"/>
    </w:pPr>
    <w:rPr>
      <w:rFonts w:ascii="宋体" w:hAnsi="宋体"/>
      <w:kern w:val="0"/>
      <w:sz w:val="24"/>
    </w:rPr>
  </w:style>
  <w:style w:type="paragraph" w:styleId="22">
    <w:name w:val="Title"/>
    <w:basedOn w:val="1"/>
    <w:next w:val="1"/>
    <w:link w:val="50"/>
    <w:qFormat/>
    <w:locked/>
    <w:uiPriority w:val="0"/>
    <w:pPr>
      <w:spacing w:before="240" w:after="60"/>
      <w:jc w:val="center"/>
      <w:outlineLvl w:val="0"/>
    </w:pPr>
    <w:rPr>
      <w:rFonts w:ascii="Cambria" w:hAnsi="Cambria"/>
      <w:b/>
      <w:bCs/>
      <w:sz w:val="32"/>
      <w:szCs w:val="32"/>
    </w:rPr>
  </w:style>
  <w:style w:type="paragraph" w:styleId="23">
    <w:name w:val="annotation subject"/>
    <w:basedOn w:val="8"/>
    <w:next w:val="8"/>
    <w:link w:val="58"/>
    <w:semiHidden/>
    <w:unhideWhenUsed/>
    <w:qFormat/>
    <w:uiPriority w:val="99"/>
    <w:rPr>
      <w:b/>
      <w:bCs/>
    </w:rPr>
  </w:style>
  <w:style w:type="table" w:styleId="25">
    <w:name w:val="Table Grid"/>
    <w:basedOn w:val="24"/>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locked/>
    <w:uiPriority w:val="22"/>
    <w:rPr>
      <w:b/>
      <w:bCs/>
    </w:rPr>
  </w:style>
  <w:style w:type="character" w:styleId="28">
    <w:name w:val="Hyperlink"/>
    <w:basedOn w:val="26"/>
    <w:qFormat/>
    <w:uiPriority w:val="99"/>
    <w:rPr>
      <w:rFonts w:cs="Times New Roman"/>
      <w:color w:val="0000FF"/>
      <w:u w:val="single"/>
    </w:rPr>
  </w:style>
  <w:style w:type="character" w:styleId="29">
    <w:name w:val="annotation reference"/>
    <w:basedOn w:val="26"/>
    <w:unhideWhenUsed/>
    <w:qFormat/>
    <w:uiPriority w:val="0"/>
    <w:rPr>
      <w:sz w:val="21"/>
      <w:szCs w:val="21"/>
    </w:rPr>
  </w:style>
  <w:style w:type="character" w:customStyle="1" w:styleId="30">
    <w:name w:val="标题 1 字符"/>
    <w:basedOn w:val="26"/>
    <w:link w:val="2"/>
    <w:qFormat/>
    <w:locked/>
    <w:uiPriority w:val="99"/>
    <w:rPr>
      <w:rFonts w:ascii="Cambria" w:hAnsi="Cambria" w:eastAsia="黑体"/>
      <w:b/>
      <w:bCs/>
      <w:kern w:val="32"/>
      <w:sz w:val="32"/>
      <w:szCs w:val="32"/>
    </w:rPr>
  </w:style>
  <w:style w:type="character" w:customStyle="1" w:styleId="31">
    <w:name w:val="标题 2 字符"/>
    <w:basedOn w:val="26"/>
    <w:link w:val="3"/>
    <w:qFormat/>
    <w:locked/>
    <w:uiPriority w:val="99"/>
    <w:rPr>
      <w:rFonts w:ascii="Cambria" w:hAnsi="Cambria" w:eastAsia="黑体"/>
      <w:b/>
      <w:bCs/>
      <w:iCs/>
      <w:sz w:val="32"/>
      <w:szCs w:val="28"/>
    </w:rPr>
  </w:style>
  <w:style w:type="character" w:customStyle="1" w:styleId="32">
    <w:name w:val="标题 3 字符"/>
    <w:basedOn w:val="26"/>
    <w:link w:val="4"/>
    <w:qFormat/>
    <w:locked/>
    <w:uiPriority w:val="99"/>
    <w:rPr>
      <w:rFonts w:ascii="Cambria" w:hAnsi="Cambria" w:eastAsia="宋体" w:cs="Times New Roman"/>
      <w:b/>
      <w:bCs/>
      <w:kern w:val="0"/>
      <w:sz w:val="26"/>
      <w:szCs w:val="26"/>
    </w:rPr>
  </w:style>
  <w:style w:type="character" w:customStyle="1" w:styleId="33">
    <w:name w:val="标题 5 字符"/>
    <w:basedOn w:val="26"/>
    <w:link w:val="6"/>
    <w:qFormat/>
    <w:locked/>
    <w:uiPriority w:val="99"/>
    <w:rPr>
      <w:rFonts w:ascii="宋体" w:hAnsi="宋体" w:eastAsia="宋体" w:cs="Times New Roman"/>
      <w:b/>
      <w:bCs/>
      <w:i/>
      <w:iCs/>
      <w:kern w:val="0"/>
      <w:sz w:val="26"/>
      <w:szCs w:val="26"/>
    </w:rPr>
  </w:style>
  <w:style w:type="character" w:customStyle="1" w:styleId="34">
    <w:name w:val="日期 字符"/>
    <w:basedOn w:val="26"/>
    <w:link w:val="13"/>
    <w:qFormat/>
    <w:locked/>
    <w:uiPriority w:val="0"/>
    <w:rPr>
      <w:rFonts w:ascii="Times New Roman" w:hAnsi="Times New Roman" w:eastAsia="宋体" w:cs="Times New Roman"/>
      <w:sz w:val="24"/>
      <w:szCs w:val="24"/>
    </w:rPr>
  </w:style>
  <w:style w:type="character" w:customStyle="1" w:styleId="35">
    <w:name w:val="页脚 字符"/>
    <w:basedOn w:val="26"/>
    <w:link w:val="16"/>
    <w:qFormat/>
    <w:locked/>
    <w:uiPriority w:val="99"/>
    <w:rPr>
      <w:rFonts w:cs="Times New Roman"/>
      <w:sz w:val="18"/>
      <w:szCs w:val="18"/>
    </w:rPr>
  </w:style>
  <w:style w:type="character" w:customStyle="1" w:styleId="36">
    <w:name w:val="页眉 字符"/>
    <w:basedOn w:val="26"/>
    <w:link w:val="17"/>
    <w:semiHidden/>
    <w:qFormat/>
    <w:locked/>
    <w:uiPriority w:val="99"/>
    <w:rPr>
      <w:rFonts w:cs="Times New Roman"/>
      <w:sz w:val="18"/>
      <w:szCs w:val="18"/>
    </w:rPr>
  </w:style>
  <w:style w:type="paragraph" w:customStyle="1" w:styleId="37">
    <w:name w:val="Char Char Char"/>
    <w:basedOn w:val="1"/>
    <w:qFormat/>
    <w:uiPriority w:val="99"/>
    <w:rPr>
      <w:rFonts w:ascii="Tahoma" w:hAnsi="Tahoma"/>
      <w:sz w:val="24"/>
      <w:szCs w:val="20"/>
    </w:rPr>
  </w:style>
  <w:style w:type="paragraph" w:customStyle="1" w:styleId="38">
    <w:name w:val="列出段落1"/>
    <w:basedOn w:val="1"/>
    <w:link w:val="40"/>
    <w:qFormat/>
    <w:uiPriority w:val="34"/>
    <w:pPr>
      <w:ind w:firstLine="420" w:firstLineChars="200"/>
    </w:pPr>
    <w:rPr>
      <w:kern w:val="0"/>
      <w:sz w:val="24"/>
      <w:szCs w:val="20"/>
    </w:rPr>
  </w:style>
  <w:style w:type="character" w:customStyle="1" w:styleId="39">
    <w:name w:val="正文缩进 字符"/>
    <w:link w:val="7"/>
    <w:qFormat/>
    <w:locked/>
    <w:uiPriority w:val="99"/>
    <w:rPr>
      <w:rFonts w:eastAsia="宋体"/>
    </w:rPr>
  </w:style>
  <w:style w:type="character" w:customStyle="1" w:styleId="40">
    <w:name w:val="列出段落 Char"/>
    <w:link w:val="38"/>
    <w:qFormat/>
    <w:locked/>
    <w:uiPriority w:val="34"/>
    <w:rPr>
      <w:rFonts w:ascii="Times New Roman" w:hAnsi="Times New Roman" w:eastAsia="宋体"/>
      <w:sz w:val="24"/>
    </w:rPr>
  </w:style>
  <w:style w:type="paragraph" w:customStyle="1" w:styleId="41">
    <w:name w:val="正文-带编号1)"/>
    <w:basedOn w:val="1"/>
    <w:qFormat/>
    <w:uiPriority w:val="99"/>
    <w:pPr>
      <w:spacing w:line="400" w:lineRule="exact"/>
    </w:pPr>
    <w:rPr>
      <w:rFonts w:ascii="Arial" w:hAnsi="Arial"/>
    </w:rPr>
  </w:style>
  <w:style w:type="character" w:customStyle="1" w:styleId="42">
    <w:name w:val="批注框文本 字符"/>
    <w:basedOn w:val="26"/>
    <w:link w:val="15"/>
    <w:semiHidden/>
    <w:qFormat/>
    <w:locked/>
    <w:uiPriority w:val="99"/>
    <w:rPr>
      <w:rFonts w:ascii="Times New Roman" w:hAnsi="Times New Roman" w:eastAsia="宋体" w:cs="Times New Roman"/>
      <w:kern w:val="2"/>
      <w:sz w:val="18"/>
      <w:szCs w:val="18"/>
    </w:rPr>
  </w:style>
  <w:style w:type="paragraph" w:customStyle="1" w:styleId="43">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44">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45">
    <w:name w:val="Char Char Char Char Char Char Char1 Char"/>
    <w:basedOn w:val="1"/>
    <w:qFormat/>
    <w:uiPriority w:val="0"/>
    <w:rPr>
      <w:rFonts w:ascii="Tahoma" w:hAnsi="Tahoma"/>
      <w:sz w:val="24"/>
      <w:szCs w:val="20"/>
    </w:rPr>
  </w:style>
  <w:style w:type="paragraph" w:styleId="46">
    <w:name w:val="List Paragraph"/>
    <w:basedOn w:val="1"/>
    <w:qFormat/>
    <w:uiPriority w:val="34"/>
    <w:pPr>
      <w:ind w:firstLine="420" w:firstLineChars="200"/>
    </w:pPr>
    <w:rPr>
      <w:rFonts w:ascii="Calibri" w:hAnsi="Calibri"/>
      <w:szCs w:val="22"/>
    </w:rPr>
  </w:style>
  <w:style w:type="paragraph" w:customStyle="1" w:styleId="47">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48">
    <w:name w:val="TOC 标题1"/>
    <w:basedOn w:val="2"/>
    <w:next w:val="1"/>
    <w:semiHidden/>
    <w:unhideWhenUsed/>
    <w:qFormat/>
    <w:uiPriority w:val="39"/>
    <w:pPr>
      <w:keepLines/>
      <w:numPr>
        <w:numId w:val="0"/>
      </w:numPr>
      <w:spacing w:before="480" w:line="276" w:lineRule="auto"/>
      <w:outlineLvl w:val="9"/>
    </w:pPr>
    <w:rPr>
      <w:rFonts w:eastAsia="宋体"/>
      <w:color w:val="365F91"/>
      <w:kern w:val="0"/>
      <w:sz w:val="28"/>
      <w:szCs w:val="28"/>
    </w:rPr>
  </w:style>
  <w:style w:type="character" w:customStyle="1" w:styleId="49">
    <w:name w:val="标题 4 字符"/>
    <w:basedOn w:val="26"/>
    <w:link w:val="5"/>
    <w:qFormat/>
    <w:uiPriority w:val="0"/>
    <w:rPr>
      <w:rFonts w:ascii="Cambria" w:hAnsi="Cambria" w:eastAsia="宋体" w:cs="Times New Roman"/>
      <w:b/>
      <w:bCs/>
      <w:kern w:val="2"/>
      <w:sz w:val="28"/>
      <w:szCs w:val="28"/>
    </w:rPr>
  </w:style>
  <w:style w:type="character" w:customStyle="1" w:styleId="50">
    <w:name w:val="标题 字符"/>
    <w:basedOn w:val="26"/>
    <w:link w:val="22"/>
    <w:qFormat/>
    <w:uiPriority w:val="0"/>
    <w:rPr>
      <w:rFonts w:ascii="Cambria" w:hAnsi="Cambria" w:cs="Times New Roman"/>
      <w:b/>
      <w:bCs/>
      <w:kern w:val="2"/>
      <w:sz w:val="32"/>
      <w:szCs w:val="32"/>
    </w:rPr>
  </w:style>
  <w:style w:type="character" w:customStyle="1" w:styleId="51">
    <w:name w:val="纯文本 Char"/>
    <w:basedOn w:val="26"/>
    <w:semiHidden/>
    <w:qFormat/>
    <w:uiPriority w:val="99"/>
    <w:rPr>
      <w:rFonts w:ascii="宋体" w:hAnsi="Courier New" w:cs="Courier New"/>
      <w:kern w:val="2"/>
      <w:sz w:val="21"/>
      <w:szCs w:val="21"/>
    </w:rPr>
  </w:style>
  <w:style w:type="character" w:customStyle="1" w:styleId="52">
    <w:name w:val="纯文本 字符"/>
    <w:link w:val="12"/>
    <w:qFormat/>
    <w:locked/>
    <w:uiPriority w:val="0"/>
    <w:rPr>
      <w:rFonts w:ascii="宋体" w:hAnsi="Courier New"/>
      <w:kern w:val="2"/>
      <w:sz w:val="21"/>
    </w:rPr>
  </w:style>
  <w:style w:type="character" w:customStyle="1" w:styleId="53">
    <w:name w:val="正文文本缩进 字符"/>
    <w:basedOn w:val="26"/>
    <w:link w:val="9"/>
    <w:qFormat/>
    <w:uiPriority w:val="0"/>
    <w:rPr>
      <w:rFonts w:ascii="Times New Roman" w:hAnsi="Times New Roman"/>
      <w:kern w:val="2"/>
      <w:sz w:val="21"/>
      <w:szCs w:val="24"/>
    </w:rPr>
  </w:style>
  <w:style w:type="character" w:customStyle="1" w:styleId="54">
    <w:name w:val="正文文本缩进 2 字符"/>
    <w:basedOn w:val="26"/>
    <w:link w:val="14"/>
    <w:qFormat/>
    <w:uiPriority w:val="0"/>
    <w:rPr>
      <w:rFonts w:ascii="Times New Roman" w:hAnsi="Times New Roman"/>
      <w:kern w:val="2"/>
      <w:sz w:val="21"/>
      <w:szCs w:val="24"/>
    </w:rPr>
  </w:style>
  <w:style w:type="paragraph" w:customStyle="1" w:styleId="5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6">
    <w:name w:val="项目正文"/>
    <w:basedOn w:val="1"/>
    <w:qFormat/>
    <w:uiPriority w:val="0"/>
    <w:pPr>
      <w:ind w:firstLine="482"/>
    </w:pPr>
  </w:style>
  <w:style w:type="character" w:customStyle="1" w:styleId="57">
    <w:name w:val="批注文字 字符"/>
    <w:basedOn w:val="26"/>
    <w:link w:val="8"/>
    <w:qFormat/>
    <w:uiPriority w:val="0"/>
    <w:rPr>
      <w:rFonts w:ascii="Times New Roman" w:hAnsi="Times New Roman" w:eastAsia="宋体" w:cs="Times New Roman"/>
      <w:kern w:val="2"/>
      <w:sz w:val="21"/>
      <w:szCs w:val="24"/>
    </w:rPr>
  </w:style>
  <w:style w:type="character" w:customStyle="1" w:styleId="58">
    <w:name w:val="批注主题 字符"/>
    <w:basedOn w:val="57"/>
    <w:link w:val="23"/>
    <w:qFormat/>
    <w:uiPriority w:val="0"/>
    <w:rPr>
      <w:rFonts w:ascii="Times New Roman" w:hAnsi="Times New Roman" w:eastAsia="宋体" w:cs="Times New Roman"/>
      <w:kern w:val="2"/>
      <w:sz w:val="21"/>
      <w:szCs w:val="24"/>
    </w:rPr>
  </w:style>
  <w:style w:type="character" w:customStyle="1" w:styleId="59">
    <w:name w:val="font101"/>
    <w:basedOn w:val="26"/>
    <w:qFormat/>
    <w:uiPriority w:val="0"/>
    <w:rPr>
      <w:rFonts w:hint="eastAsia" w:ascii="宋体" w:hAnsi="宋体" w:eastAsia="宋体" w:cs="宋体"/>
      <w:b/>
      <w:color w:val="000000"/>
      <w:sz w:val="20"/>
      <w:szCs w:val="20"/>
      <w:u w:val="none"/>
    </w:rPr>
  </w:style>
  <w:style w:type="character" w:customStyle="1" w:styleId="60">
    <w:name w:val="font111"/>
    <w:basedOn w:val="26"/>
    <w:qFormat/>
    <w:uiPriority w:val="0"/>
    <w:rPr>
      <w:rFonts w:hint="eastAsia" w:ascii="宋体" w:hAnsi="宋体" w:eastAsia="宋体" w:cs="宋体"/>
      <w:color w:val="000000"/>
      <w:sz w:val="20"/>
      <w:szCs w:val="20"/>
      <w:u w:val="none"/>
    </w:rPr>
  </w:style>
  <w:style w:type="character" w:customStyle="1" w:styleId="61">
    <w:name w:val="font181"/>
    <w:basedOn w:val="26"/>
    <w:qFormat/>
    <w:uiPriority w:val="0"/>
    <w:rPr>
      <w:rFonts w:hint="eastAsia" w:ascii="宋体" w:hAnsi="宋体" w:eastAsia="宋体" w:cs="宋体"/>
      <w:color w:val="FF0000"/>
      <w:sz w:val="20"/>
      <w:szCs w:val="20"/>
      <w:u w:val="none"/>
    </w:rPr>
  </w:style>
  <w:style w:type="character" w:customStyle="1" w:styleId="62">
    <w:name w:val="font12"/>
    <w:basedOn w:val="26"/>
    <w:qFormat/>
    <w:uiPriority w:val="0"/>
    <w:rPr>
      <w:rFonts w:hint="eastAsia" w:ascii="宋体" w:hAnsi="宋体" w:eastAsia="宋体" w:cs="宋体"/>
      <w:color w:val="000000"/>
      <w:sz w:val="22"/>
      <w:szCs w:val="22"/>
      <w:u w:val="none"/>
    </w:rPr>
  </w:style>
  <w:style w:type="character" w:customStyle="1" w:styleId="63">
    <w:name w:val="font161"/>
    <w:basedOn w:val="26"/>
    <w:qFormat/>
    <w:uiPriority w:val="0"/>
    <w:rPr>
      <w:rFonts w:hint="eastAsia" w:ascii="宋体" w:hAnsi="宋体" w:eastAsia="宋体" w:cs="宋体"/>
      <w:color w:val="000000"/>
      <w:sz w:val="22"/>
      <w:szCs w:val="22"/>
      <w:u w:val="none"/>
    </w:rPr>
  </w:style>
  <w:style w:type="character" w:customStyle="1" w:styleId="64">
    <w:name w:val="font51"/>
    <w:basedOn w:val="26"/>
    <w:qFormat/>
    <w:uiPriority w:val="0"/>
    <w:rPr>
      <w:rFonts w:hint="eastAsia" w:ascii="宋体" w:hAnsi="宋体" w:eastAsia="宋体" w:cs="宋体"/>
      <w:b/>
      <w:color w:val="000000"/>
      <w:sz w:val="20"/>
      <w:szCs w:val="20"/>
      <w:u w:val="none"/>
    </w:rPr>
  </w:style>
  <w:style w:type="character" w:customStyle="1" w:styleId="65">
    <w:name w:val="font122"/>
    <w:basedOn w:val="26"/>
    <w:qFormat/>
    <w:uiPriority w:val="0"/>
    <w:rPr>
      <w:rFonts w:hint="eastAsia" w:ascii="宋体" w:hAnsi="宋体" w:eastAsia="宋体" w:cs="宋体"/>
      <w:color w:val="000000"/>
      <w:sz w:val="22"/>
      <w:szCs w:val="22"/>
      <w:u w:val="none"/>
    </w:rPr>
  </w:style>
  <w:style w:type="paragraph" w:customStyle="1" w:styleId="6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02A5D3-64D6-4F17-B694-B74F1AEFF9A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65</Pages>
  <Words>7648</Words>
  <Characters>43598</Characters>
  <Lines>363</Lines>
  <Paragraphs>102</Paragraphs>
  <TotalTime>63</TotalTime>
  <ScaleCrop>false</ScaleCrop>
  <LinksUpToDate>false</LinksUpToDate>
  <CharactersWithSpaces>51144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2020-03-28T06:19:00Z</dcterms:created>
  <dc:creator>WG</dc:creator>
  <cp:lastModifiedBy>着迷</cp:lastModifiedBy>
  <cp:lastPrinted>2020-03-27T01:55:00Z</cp:lastPrinted>
  <dcterms:modified xsi:type="dcterms:W3CDTF">2020-04-08T01:36:31Z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