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szCs w:val="52"/>
        </w:rPr>
      </w:pPr>
    </w:p>
    <w:p>
      <w:pPr>
        <w:jc w:val="center"/>
        <w:rPr>
          <w:b/>
          <w:sz w:val="52"/>
          <w:szCs w:val="52"/>
        </w:rPr>
      </w:pPr>
    </w:p>
    <w:p>
      <w:pPr>
        <w:jc w:val="center"/>
        <w:rPr>
          <w:b/>
          <w:sz w:val="48"/>
          <w:szCs w:val="52"/>
        </w:rPr>
      </w:pPr>
      <w:r>
        <w:rPr>
          <w:rFonts w:hint="eastAsia"/>
          <w:b/>
          <w:sz w:val="48"/>
          <w:szCs w:val="52"/>
        </w:rPr>
        <w:t>合百集团蚌埠百大购物中心有限责任公司</w:t>
      </w:r>
    </w:p>
    <w:p>
      <w:pPr>
        <w:jc w:val="center"/>
        <w:rPr>
          <w:b/>
          <w:sz w:val="48"/>
          <w:szCs w:val="52"/>
        </w:rPr>
      </w:pPr>
    </w:p>
    <w:p>
      <w:pPr>
        <w:jc w:val="center"/>
        <w:rPr>
          <w:b/>
          <w:sz w:val="48"/>
          <w:szCs w:val="52"/>
        </w:rPr>
      </w:pPr>
      <w:r>
        <w:rPr>
          <w:rFonts w:hint="eastAsia"/>
          <w:b/>
          <w:sz w:val="48"/>
          <w:szCs w:val="52"/>
        </w:rPr>
        <w:t>宝龙店视频监控系统升级改造工程</w:t>
      </w:r>
    </w:p>
    <w:p>
      <w:pPr>
        <w:jc w:val="center"/>
        <w:rPr>
          <w:b/>
          <w:sz w:val="48"/>
          <w:szCs w:val="52"/>
        </w:rPr>
      </w:pPr>
    </w:p>
    <w:p>
      <w:pPr>
        <w:jc w:val="center"/>
        <w:rPr>
          <w:b/>
          <w:sz w:val="48"/>
          <w:szCs w:val="52"/>
        </w:rPr>
      </w:pPr>
    </w:p>
    <w:p>
      <w:pPr>
        <w:jc w:val="center"/>
      </w:pPr>
    </w:p>
    <w:p>
      <w:pPr>
        <w:jc w:val="center"/>
      </w:pPr>
    </w:p>
    <w:p>
      <w:pPr>
        <w:jc w:val="center"/>
        <w:rPr>
          <w:rFonts w:ascii="黑体" w:eastAsia="黑体"/>
          <w:b/>
          <w:sz w:val="52"/>
          <w:szCs w:val="52"/>
        </w:rPr>
      </w:pPr>
      <w:r>
        <w:rPr>
          <w:rFonts w:hint="eastAsia" w:ascii="黑体" w:eastAsia="黑体"/>
          <w:b/>
          <w:sz w:val="52"/>
          <w:szCs w:val="52"/>
        </w:rPr>
        <w:t>招</w:t>
      </w:r>
      <w:r>
        <w:rPr>
          <w:rFonts w:ascii="黑体" w:eastAsia="黑体"/>
          <w:b/>
          <w:sz w:val="52"/>
          <w:szCs w:val="52"/>
        </w:rPr>
        <w:t xml:space="preserve"> </w:t>
      </w:r>
      <w:r>
        <w:rPr>
          <w:rFonts w:hint="eastAsia" w:ascii="黑体" w:eastAsia="黑体"/>
          <w:b/>
          <w:sz w:val="52"/>
          <w:szCs w:val="52"/>
        </w:rPr>
        <w:t>标</w:t>
      </w:r>
      <w:r>
        <w:rPr>
          <w:rFonts w:ascii="黑体" w:eastAsia="黑体"/>
          <w:b/>
          <w:sz w:val="52"/>
          <w:szCs w:val="52"/>
        </w:rPr>
        <w:t xml:space="preserve"> </w:t>
      </w:r>
      <w:r>
        <w:rPr>
          <w:rFonts w:hint="eastAsia" w:ascii="黑体" w:eastAsia="黑体"/>
          <w:b/>
          <w:sz w:val="52"/>
          <w:szCs w:val="52"/>
        </w:rPr>
        <w:t>文</w:t>
      </w:r>
      <w:r>
        <w:rPr>
          <w:rFonts w:ascii="黑体" w:eastAsia="黑体"/>
          <w:b/>
          <w:sz w:val="52"/>
          <w:szCs w:val="52"/>
        </w:rPr>
        <w:t xml:space="preserve"> </w:t>
      </w:r>
      <w:r>
        <w:rPr>
          <w:rFonts w:hint="eastAsia" w:ascii="黑体" w:eastAsia="黑体"/>
          <w:b/>
          <w:sz w:val="52"/>
          <w:szCs w:val="52"/>
        </w:rPr>
        <w:t>件</w:t>
      </w:r>
    </w:p>
    <w:p/>
    <w:p/>
    <w:p/>
    <w:p/>
    <w:p>
      <w:r>
        <w:t>  </w:t>
      </w:r>
    </w:p>
    <w:p/>
    <w:p/>
    <w:p/>
    <w:p/>
    <w:p/>
    <w:p/>
    <w:p/>
    <w:p/>
    <w:p/>
    <w:p/>
    <w:p/>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项目编号: HBZ-1911</w:t>
      </w:r>
      <w:r>
        <w:rPr>
          <w:rFonts w:hint="eastAsia" w:ascii="宋体" w:hAnsi="DotumChe" w:cs="宋体"/>
          <w:b/>
          <w:spacing w:val="20"/>
          <w:kern w:val="0"/>
          <w:sz w:val="32"/>
          <w:szCs w:val="32"/>
          <w:lang w:val="en-US" w:eastAsia="zh-CN"/>
        </w:rPr>
        <w:t>59</w:t>
      </w:r>
      <w:r>
        <w:rPr>
          <w:rFonts w:hint="eastAsia" w:ascii="宋体" w:hAnsi="DotumChe" w:cs="宋体"/>
          <w:b/>
          <w:spacing w:val="20"/>
          <w:kern w:val="0"/>
          <w:sz w:val="32"/>
          <w:szCs w:val="32"/>
        </w:rPr>
        <w:t>-BBBL01</w:t>
      </w:r>
    </w:p>
    <w:p>
      <w:pPr>
        <w:tabs>
          <w:tab w:val="left" w:pos="2410"/>
        </w:tabs>
        <w:autoSpaceDE w:val="0"/>
        <w:autoSpaceDN w:val="0"/>
        <w:adjustRightInd w:val="0"/>
        <w:snapToGrid w:val="0"/>
        <w:spacing w:line="360" w:lineRule="auto"/>
        <w:ind w:left="4335" w:hanging="4335" w:hangingChars="1200"/>
        <w:jc w:val="left"/>
        <w:rPr>
          <w:rFonts w:ascii="宋体" w:hAnsi="DotumChe" w:cs="宋体"/>
          <w:b/>
          <w:spacing w:val="20"/>
          <w:kern w:val="0"/>
          <w:sz w:val="32"/>
          <w:szCs w:val="32"/>
        </w:rPr>
      </w:pPr>
      <w:r>
        <w:rPr>
          <w:rFonts w:hint="eastAsia" w:ascii="宋体" w:hAnsi="DotumChe" w:cs="宋体"/>
          <w:b/>
          <w:spacing w:val="20"/>
          <w:kern w:val="0"/>
          <w:sz w:val="32"/>
          <w:szCs w:val="32"/>
        </w:rPr>
        <w:t>招 标 人：</w:t>
      </w:r>
      <w:r>
        <w:rPr>
          <w:rFonts w:hint="eastAsia" w:ascii="宋体" w:hAnsi="DotumChe" w:cs="宋体"/>
          <w:b/>
          <w:spacing w:val="20"/>
          <w:kern w:val="0"/>
          <w:sz w:val="28"/>
          <w:szCs w:val="28"/>
        </w:rPr>
        <w:t>合肥百货大楼集团蚌埠百大购物中心有限责任公司宝龙店</w:t>
      </w:r>
    </w:p>
    <w:p>
      <w:pPr>
        <w:tabs>
          <w:tab w:val="left" w:pos="2410"/>
        </w:tabs>
        <w:autoSpaceDE w:val="0"/>
        <w:autoSpaceDN w:val="0"/>
        <w:adjustRightInd w:val="0"/>
        <w:snapToGrid w:val="0"/>
        <w:spacing w:line="360" w:lineRule="auto"/>
        <w:rPr>
          <w:rFonts w:ascii="宋体" w:hAnsi="DotumChe" w:cs="宋体"/>
          <w:b/>
          <w:spacing w:val="20"/>
          <w:kern w:val="0"/>
          <w:sz w:val="32"/>
          <w:szCs w:val="32"/>
        </w:rPr>
      </w:pPr>
      <w:r>
        <w:rPr>
          <w:rFonts w:hint="eastAsia" w:ascii="宋体" w:hAnsi="DotumChe" w:cs="宋体"/>
          <w:b/>
          <w:spacing w:val="20"/>
          <w:kern w:val="0"/>
          <w:sz w:val="32"/>
          <w:szCs w:val="32"/>
        </w:rPr>
        <w:t>招标时间：二〇一九年十一月</w:t>
      </w:r>
    </w:p>
    <w:p>
      <w:pPr>
        <w:pStyle w:val="2"/>
        <w:numPr>
          <w:ilvl w:val="0"/>
          <w:numId w:val="0"/>
        </w:numPr>
      </w:pPr>
      <w:bookmarkStart w:id="0" w:name="_Toc491005864"/>
      <w:bookmarkStart w:id="1" w:name="_Toc13732416"/>
      <w:r>
        <w:rPr>
          <w:rFonts w:hint="eastAsia"/>
        </w:rPr>
        <w:t>第一章</w:t>
      </w:r>
      <w:r>
        <w:t xml:space="preserve"> </w:t>
      </w:r>
      <w:r>
        <w:rPr>
          <w:rFonts w:hint="eastAsia"/>
        </w:rPr>
        <w:t xml:space="preserve"> 投标邀请</w:t>
      </w:r>
      <w:bookmarkEnd w:id="0"/>
      <w:bookmarkEnd w:id="1"/>
    </w:p>
    <w:p>
      <w:pPr>
        <w:spacing w:line="440" w:lineRule="exact"/>
        <w:ind w:firstLine="600" w:firstLineChars="250"/>
        <w:rPr>
          <w:rFonts w:ascii="宋体"/>
          <w:sz w:val="24"/>
          <w:szCs w:val="18"/>
        </w:rPr>
      </w:pPr>
      <w:r>
        <w:rPr>
          <w:rFonts w:hint="eastAsia" w:ascii="宋体" w:hAnsi="宋体"/>
          <w:sz w:val="24"/>
          <w:szCs w:val="18"/>
        </w:rPr>
        <w:t>我公司现对蚌埠百大宝龙店视频监控系统升级改造工程招标，欢迎合格的投标人前来投标，相关事项如下：</w:t>
      </w:r>
    </w:p>
    <w:p>
      <w:pPr>
        <w:widowControl/>
        <w:spacing w:line="440" w:lineRule="exact"/>
        <w:jc w:val="left"/>
        <w:rPr>
          <w:rFonts w:ascii="宋体"/>
          <w:b/>
          <w:sz w:val="24"/>
        </w:rPr>
      </w:pPr>
      <w:r>
        <w:rPr>
          <w:rFonts w:hint="eastAsia" w:ascii="宋体" w:hAnsi="宋体"/>
          <w:b/>
          <w:sz w:val="24"/>
        </w:rPr>
        <w:t>一、标的简介：</w:t>
      </w:r>
    </w:p>
    <w:p>
      <w:pPr>
        <w:spacing w:line="440" w:lineRule="exact"/>
        <w:ind w:firstLine="480" w:firstLineChars="200"/>
        <w:rPr>
          <w:rFonts w:ascii="宋体"/>
          <w:sz w:val="24"/>
        </w:rPr>
      </w:pPr>
      <w:r>
        <w:rPr>
          <w:rFonts w:ascii="宋体" w:hAnsi="宋体"/>
          <w:sz w:val="24"/>
        </w:rPr>
        <w:t>1</w:t>
      </w:r>
      <w:r>
        <w:rPr>
          <w:rFonts w:ascii="宋体"/>
          <w:sz w:val="24"/>
        </w:rPr>
        <w:t>.</w:t>
      </w:r>
      <w:r>
        <w:rPr>
          <w:rFonts w:hint="eastAsia" w:ascii="宋体"/>
          <w:sz w:val="24"/>
        </w:rPr>
        <w:t>项目编号：HBZ-1911</w:t>
      </w:r>
      <w:r>
        <w:rPr>
          <w:rFonts w:hint="eastAsia" w:ascii="宋体"/>
          <w:sz w:val="24"/>
          <w:lang w:val="en-US" w:eastAsia="zh-CN"/>
        </w:rPr>
        <w:t>59</w:t>
      </w:r>
      <w:r>
        <w:rPr>
          <w:rFonts w:hint="eastAsia" w:ascii="宋体"/>
          <w:sz w:val="24"/>
        </w:rPr>
        <w:t>-BBBL01</w:t>
      </w:r>
    </w:p>
    <w:p>
      <w:pPr>
        <w:spacing w:line="440" w:lineRule="exact"/>
        <w:ind w:firstLine="360" w:firstLineChars="150"/>
        <w:rPr>
          <w:rFonts w:ascii="宋体"/>
          <w:sz w:val="24"/>
          <w:szCs w:val="18"/>
        </w:rPr>
      </w:pPr>
      <w:r>
        <w:rPr>
          <w:rFonts w:ascii="宋体" w:hAnsi="宋体"/>
          <w:sz w:val="24"/>
        </w:rPr>
        <w:t xml:space="preserve"> 2.</w:t>
      </w:r>
      <w:r>
        <w:rPr>
          <w:rFonts w:hint="eastAsia" w:ascii="宋体" w:hAnsi="宋体"/>
          <w:sz w:val="24"/>
        </w:rPr>
        <w:t>项目名称：</w:t>
      </w:r>
      <w:r>
        <w:rPr>
          <w:rFonts w:hint="eastAsia" w:ascii="宋体" w:hAnsi="宋体"/>
          <w:sz w:val="24"/>
          <w:szCs w:val="18"/>
        </w:rPr>
        <w:t>百大宝龙店视频监控系统升级改造工程</w:t>
      </w:r>
    </w:p>
    <w:p>
      <w:pPr>
        <w:spacing w:line="440" w:lineRule="exact"/>
        <w:ind w:firstLine="480" w:firstLineChars="200"/>
        <w:rPr>
          <w:sz w:val="24"/>
        </w:rPr>
      </w:pPr>
      <w:r>
        <w:rPr>
          <w:rFonts w:ascii="宋体" w:hAnsi="宋体"/>
          <w:sz w:val="24"/>
        </w:rPr>
        <w:t>3</w:t>
      </w:r>
      <w:r>
        <w:rPr>
          <w:rFonts w:ascii="宋体"/>
          <w:sz w:val="24"/>
        </w:rPr>
        <w:t>.</w:t>
      </w:r>
      <w:r>
        <w:rPr>
          <w:rFonts w:hint="eastAsia" w:ascii="宋体" w:hAnsi="宋体"/>
          <w:sz w:val="24"/>
        </w:rPr>
        <w:t>项目地点：蚌埠市涂山东路1596号（兴业街555号宝龙城市广场2号楼）</w:t>
      </w:r>
    </w:p>
    <w:p>
      <w:pPr>
        <w:spacing w:line="440" w:lineRule="exact"/>
        <w:ind w:firstLine="480" w:firstLineChars="200"/>
        <w:rPr>
          <w:rFonts w:ascii="宋体"/>
          <w:sz w:val="24"/>
        </w:rPr>
      </w:pPr>
      <w:r>
        <w:rPr>
          <w:rFonts w:ascii="宋体" w:hAnsi="宋体"/>
          <w:sz w:val="24"/>
        </w:rPr>
        <w:t>4</w:t>
      </w:r>
      <w:r>
        <w:rPr>
          <w:rFonts w:ascii="宋体"/>
          <w:sz w:val="24"/>
        </w:rPr>
        <w:t>.</w:t>
      </w:r>
      <w:r>
        <w:rPr>
          <w:rFonts w:hint="eastAsia" w:ascii="宋体" w:hAnsi="宋体"/>
          <w:sz w:val="24"/>
        </w:rPr>
        <w:t>项目概算：401303.67</w:t>
      </w:r>
      <w:r>
        <w:rPr>
          <w:rFonts w:hint="eastAsia" w:ascii="宋体" w:hAnsi="宋体"/>
          <w:bCs/>
          <w:spacing w:val="-6"/>
          <w:sz w:val="24"/>
        </w:rPr>
        <w:t>元</w:t>
      </w:r>
    </w:p>
    <w:p>
      <w:pPr>
        <w:spacing w:line="440" w:lineRule="exact"/>
        <w:rPr>
          <w:rFonts w:ascii="宋体"/>
          <w:b/>
          <w:sz w:val="24"/>
        </w:rPr>
      </w:pPr>
      <w:r>
        <w:rPr>
          <w:rFonts w:hint="eastAsia" w:ascii="宋体" w:hAnsi="宋体"/>
          <w:b/>
          <w:sz w:val="24"/>
        </w:rPr>
        <w:t>二、投标人资格：</w:t>
      </w:r>
    </w:p>
    <w:p>
      <w:pPr>
        <w:spacing w:line="440" w:lineRule="exact"/>
        <w:ind w:firstLine="480" w:firstLineChars="200"/>
        <w:rPr>
          <w:rFonts w:ascii="宋体"/>
          <w:kern w:val="0"/>
          <w:sz w:val="24"/>
        </w:rPr>
      </w:pPr>
      <w:r>
        <w:rPr>
          <w:rFonts w:ascii="宋体" w:hAnsi="宋体"/>
          <w:sz w:val="24"/>
        </w:rPr>
        <w:t>1.</w:t>
      </w:r>
      <w:r>
        <w:rPr>
          <w:rFonts w:hint="eastAsia" w:ascii="宋体" w:hAnsi="宋体"/>
          <w:kern w:val="0"/>
          <w:sz w:val="24"/>
        </w:rPr>
        <w:t>须具有独立法人和一般纳税人资格</w:t>
      </w:r>
      <w:r>
        <w:rPr>
          <w:rFonts w:ascii="宋体"/>
          <w:kern w:val="0"/>
          <w:sz w:val="24"/>
        </w:rPr>
        <w:t>,</w:t>
      </w:r>
      <w:r>
        <w:rPr>
          <w:rFonts w:hint="eastAsia" w:ascii="宋体" w:hAnsi="宋体"/>
          <w:kern w:val="0"/>
          <w:sz w:val="24"/>
        </w:rPr>
        <w:t>注册资金不小于人民币</w:t>
      </w:r>
      <w:r>
        <w:rPr>
          <w:rFonts w:ascii="宋体" w:hAnsi="宋体"/>
          <w:kern w:val="0"/>
          <w:sz w:val="24"/>
        </w:rPr>
        <w:t>500</w:t>
      </w:r>
      <w:r>
        <w:rPr>
          <w:rFonts w:hint="eastAsia" w:ascii="宋体" w:hAnsi="宋体"/>
          <w:kern w:val="0"/>
          <w:sz w:val="24"/>
        </w:rPr>
        <w:t>万元；</w:t>
      </w:r>
    </w:p>
    <w:p>
      <w:pPr>
        <w:spacing w:line="440" w:lineRule="exact"/>
        <w:ind w:firstLine="480" w:firstLineChars="200"/>
        <w:rPr>
          <w:rFonts w:ascii="宋体"/>
          <w:sz w:val="24"/>
          <w:shd w:val="clear" w:color="auto" w:fill="FDFFFB"/>
        </w:rPr>
      </w:pPr>
      <w:r>
        <w:rPr>
          <w:rFonts w:ascii="宋体" w:hAnsi="宋体"/>
          <w:kern w:val="0"/>
          <w:sz w:val="24"/>
        </w:rPr>
        <w:t>2.</w:t>
      </w:r>
      <w:r>
        <w:rPr>
          <w:rFonts w:hint="eastAsia" w:ascii="宋体" w:hAnsi="宋体"/>
          <w:kern w:val="0"/>
          <w:sz w:val="24"/>
        </w:rPr>
        <w:t>须具有安防工程三级及以上资质；</w:t>
      </w:r>
    </w:p>
    <w:p>
      <w:pPr>
        <w:spacing w:line="440" w:lineRule="exact"/>
        <w:ind w:firstLine="480" w:firstLineChars="200"/>
        <w:rPr>
          <w:rFonts w:ascii="宋体" w:cs="宋体"/>
          <w:kern w:val="0"/>
          <w:sz w:val="24"/>
        </w:rPr>
      </w:pPr>
      <w:r>
        <w:rPr>
          <w:rFonts w:hint="eastAsia" w:ascii="宋体" w:hAnsi="宋体"/>
          <w:sz w:val="24"/>
          <w:shd w:val="clear" w:color="auto" w:fill="FDFFFB"/>
        </w:rPr>
        <w:t>3</w:t>
      </w:r>
      <w:r>
        <w:rPr>
          <w:rFonts w:ascii="宋体" w:hAnsi="宋体"/>
          <w:sz w:val="24"/>
          <w:shd w:val="clear" w:color="auto" w:fill="FDFFFB"/>
        </w:rPr>
        <w:t>.</w:t>
      </w:r>
      <w:r>
        <w:rPr>
          <w:rFonts w:hint="eastAsia" w:ascii="宋体" w:hAnsi="宋体" w:cs="宋体"/>
          <w:kern w:val="0"/>
          <w:sz w:val="24"/>
        </w:rPr>
        <w:t>须提供三个及以上类似工程案例（提供合同原件及项目业主方验收资料）；</w:t>
      </w:r>
    </w:p>
    <w:p>
      <w:pPr>
        <w:spacing w:line="440" w:lineRule="exact"/>
        <w:ind w:firstLine="480" w:firstLineChars="200"/>
        <w:rPr>
          <w:rFonts w:ascii="宋体" w:cs="宋体"/>
          <w:kern w:val="0"/>
          <w:sz w:val="24"/>
        </w:rPr>
      </w:pPr>
      <w:r>
        <w:rPr>
          <w:rFonts w:hint="eastAsia" w:ascii="宋体" w:hAnsi="宋体" w:cs="宋体"/>
          <w:kern w:val="0"/>
          <w:sz w:val="24"/>
        </w:rPr>
        <w:t>4.投标人须符合下列情形之一（以在</w:t>
      </w:r>
      <w:r>
        <w:rPr>
          <w:rFonts w:hint="eastAsia" w:ascii="宋体" w:cs="宋体"/>
          <w:kern w:val="0"/>
          <w:sz w:val="24"/>
        </w:rPr>
        <w:t>“</w:t>
      </w:r>
      <w:r>
        <w:rPr>
          <w:rFonts w:hint="eastAsia" w:ascii="宋体" w:hAnsi="宋体" w:cs="宋体"/>
          <w:kern w:val="0"/>
          <w:sz w:val="24"/>
        </w:rPr>
        <w:t>安徽合肥公共资源交易中心</w:t>
      </w:r>
      <w:r>
        <w:rPr>
          <w:rFonts w:hint="eastAsia" w:ascii="宋体" w:cs="宋体"/>
          <w:kern w:val="0"/>
          <w:sz w:val="24"/>
        </w:rPr>
        <w:t>”</w:t>
      </w:r>
      <w:r>
        <w:rPr>
          <w:rFonts w:hint="eastAsia" w:ascii="宋体" w:hAnsi="宋体" w:cs="宋体"/>
          <w:kern w:val="0"/>
          <w:sz w:val="24"/>
        </w:rPr>
        <w:t>网站</w:t>
      </w:r>
      <w:r>
        <w:rPr>
          <w:rFonts w:ascii="宋体" w:hAnsi="宋体" w:cs="宋体"/>
          <w:kern w:val="0"/>
          <w:sz w:val="24"/>
        </w:rPr>
        <w:t>http://ggzy.hefei.gov.cn/pgt/exposureDesk.html</w:t>
      </w:r>
      <w:r>
        <w:rPr>
          <w:rFonts w:hint="eastAsia" w:ascii="宋体" w:hAnsi="宋体" w:cs="宋体"/>
          <w:kern w:val="0"/>
          <w:sz w:val="24"/>
        </w:rPr>
        <w:t>查询信息为准）：</w:t>
      </w:r>
      <w:r>
        <w:rPr>
          <w:rFonts w:ascii="宋体" w:cs="宋体"/>
          <w:kern w:val="0"/>
          <w:sz w:val="24"/>
        </w:rPr>
        <w:br w:type="textWrapping"/>
      </w:r>
      <w:r>
        <w:rPr>
          <w:rFonts w:ascii="宋体" w:hAnsi="宋体" w:cs="宋体"/>
          <w:kern w:val="0"/>
          <w:sz w:val="24"/>
        </w:rPr>
        <w:t xml:space="preserve">    1</w:t>
      </w:r>
      <w:r>
        <w:rPr>
          <w:rFonts w:hint="eastAsia" w:ascii="宋体" w:hAnsi="宋体" w:cs="宋体"/>
          <w:kern w:val="0"/>
          <w:sz w:val="24"/>
        </w:rPr>
        <w:t>）开标日前两年内未被合肥市及其所辖县（市）公共资源交易监督管理局记不良行为记录或记不良行为记录累计未满</w:t>
      </w:r>
      <w:r>
        <w:rPr>
          <w:rFonts w:ascii="宋体" w:hAnsi="宋体" w:cs="宋体"/>
          <w:kern w:val="0"/>
          <w:sz w:val="24"/>
        </w:rPr>
        <w:t>10</w:t>
      </w:r>
      <w:r>
        <w:rPr>
          <w:rFonts w:hint="eastAsia" w:ascii="宋体" w:hAnsi="宋体" w:cs="宋体"/>
          <w:kern w:val="0"/>
          <w:sz w:val="24"/>
        </w:rPr>
        <w:t>分的。</w:t>
      </w:r>
      <w:r>
        <w:rPr>
          <w:rFonts w:ascii="宋体" w:cs="宋体"/>
          <w:kern w:val="0"/>
          <w:sz w:val="24"/>
        </w:rPr>
        <w:t> </w:t>
      </w:r>
      <w:r>
        <w:rPr>
          <w:rFonts w:ascii="宋体" w:cs="宋体"/>
          <w:kern w:val="0"/>
          <w:sz w:val="24"/>
        </w:rPr>
        <w:br w:type="textWrapping"/>
      </w:r>
      <w:r>
        <w:rPr>
          <w:rFonts w:ascii="宋体" w:hAnsi="宋体" w:cs="宋体"/>
          <w:kern w:val="0"/>
          <w:sz w:val="24"/>
        </w:rPr>
        <w:t xml:space="preserve">    2</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15</w:t>
      </w:r>
      <w:r>
        <w:rPr>
          <w:rFonts w:hint="eastAsia" w:ascii="宋体" w:hAnsi="宋体" w:cs="宋体"/>
          <w:kern w:val="0"/>
          <w:sz w:val="24"/>
        </w:rPr>
        <w:t>分且公布日距开标日超过</w:t>
      </w:r>
      <w:r>
        <w:rPr>
          <w:rFonts w:ascii="宋体" w:hAnsi="宋体" w:cs="宋体"/>
          <w:kern w:val="0"/>
          <w:sz w:val="24"/>
        </w:rPr>
        <w:t>6</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3</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15</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到</w:t>
      </w:r>
      <w:r>
        <w:rPr>
          <w:rFonts w:ascii="宋体" w:hAnsi="宋体" w:cs="宋体"/>
          <w:kern w:val="0"/>
          <w:sz w:val="24"/>
        </w:rPr>
        <w:t>20</w:t>
      </w:r>
      <w:r>
        <w:rPr>
          <w:rFonts w:hint="eastAsia" w:ascii="宋体" w:hAnsi="宋体" w:cs="宋体"/>
          <w:kern w:val="0"/>
          <w:sz w:val="24"/>
        </w:rPr>
        <w:t>分且公布日距开标日超过</w:t>
      </w:r>
      <w:r>
        <w:rPr>
          <w:rFonts w:ascii="宋体" w:hAnsi="宋体" w:cs="宋体"/>
          <w:kern w:val="0"/>
          <w:sz w:val="24"/>
        </w:rPr>
        <w:t>12</w:t>
      </w:r>
      <w:r>
        <w:rPr>
          <w:rFonts w:hint="eastAsia" w:ascii="宋体" w:hAnsi="宋体" w:cs="宋体"/>
          <w:kern w:val="0"/>
          <w:sz w:val="24"/>
        </w:rPr>
        <w:t>个月。</w:t>
      </w:r>
      <w:r>
        <w:rPr>
          <w:rFonts w:ascii="宋体" w:cs="宋体"/>
          <w:kern w:val="0"/>
          <w:sz w:val="24"/>
        </w:rPr>
        <w:t> </w:t>
      </w:r>
      <w:r>
        <w:rPr>
          <w:rFonts w:ascii="宋体" w:cs="宋体"/>
          <w:kern w:val="0"/>
          <w:sz w:val="24"/>
        </w:rPr>
        <w:br w:type="textWrapping"/>
      </w:r>
      <w:r>
        <w:rPr>
          <w:rFonts w:ascii="宋体" w:hAnsi="宋体" w:cs="宋体"/>
          <w:kern w:val="0"/>
          <w:sz w:val="24"/>
        </w:rPr>
        <w:t xml:space="preserve">    4</w:t>
      </w:r>
      <w:r>
        <w:rPr>
          <w:rFonts w:hint="eastAsia" w:ascii="宋体" w:hAnsi="宋体" w:cs="宋体"/>
          <w:kern w:val="0"/>
          <w:sz w:val="24"/>
        </w:rPr>
        <w:t>）最近一次被合肥市及其所辖县（市）公共资源交易监督管理局记不良行为记录累计记分达</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含</w:t>
      </w:r>
      <w:r>
        <w:rPr>
          <w:rFonts w:ascii="宋体" w:hAnsi="宋体" w:cs="宋体"/>
          <w:kern w:val="0"/>
          <w:sz w:val="24"/>
        </w:rPr>
        <w:t>20</w:t>
      </w:r>
      <w:r>
        <w:rPr>
          <w:rFonts w:hint="eastAsia" w:ascii="宋体" w:hAnsi="宋体" w:cs="宋体"/>
          <w:kern w:val="0"/>
          <w:sz w:val="24"/>
        </w:rPr>
        <w:t>分</w:t>
      </w:r>
      <w:r>
        <w:rPr>
          <w:rFonts w:ascii="宋体" w:hAnsi="宋体" w:cs="宋体"/>
          <w:kern w:val="0"/>
          <w:sz w:val="24"/>
        </w:rPr>
        <w:t>)</w:t>
      </w:r>
      <w:r>
        <w:rPr>
          <w:rFonts w:hint="eastAsia" w:ascii="宋体" w:hAnsi="宋体" w:cs="宋体"/>
          <w:kern w:val="0"/>
          <w:sz w:val="24"/>
        </w:rPr>
        <w:t>及以上且公布日距开标日超过</w:t>
      </w:r>
      <w:r>
        <w:rPr>
          <w:rFonts w:ascii="宋体" w:hAnsi="宋体" w:cs="宋体"/>
          <w:kern w:val="0"/>
          <w:sz w:val="24"/>
        </w:rPr>
        <w:t>24</w:t>
      </w:r>
      <w:r>
        <w:rPr>
          <w:rFonts w:hint="eastAsia" w:ascii="宋体" w:hAnsi="宋体" w:cs="宋体"/>
          <w:kern w:val="0"/>
          <w:sz w:val="24"/>
        </w:rPr>
        <w:t>个月。</w:t>
      </w:r>
    </w:p>
    <w:p>
      <w:pPr>
        <w:spacing w:line="440" w:lineRule="exact"/>
        <w:ind w:left="420" w:leftChars="200" w:firstLine="120" w:firstLineChars="50"/>
        <w:rPr>
          <w:rFonts w:ascii="宋体"/>
          <w:sz w:val="24"/>
        </w:rPr>
      </w:pPr>
      <w:r>
        <w:rPr>
          <w:rFonts w:hint="eastAsia" w:ascii="宋体" w:hAnsi="宋体"/>
          <w:sz w:val="24"/>
        </w:rPr>
        <w:t>5.投标人存在以下不良信用记录情形之一的，不得推荐为中标候选人，不得确定为中标人（以在</w:t>
      </w:r>
      <w:r>
        <w:rPr>
          <w:rFonts w:hint="eastAsia" w:ascii="宋体"/>
          <w:sz w:val="24"/>
        </w:rPr>
        <w:t>“</w:t>
      </w:r>
      <w:r>
        <w:rPr>
          <w:rFonts w:hint="eastAsia" w:ascii="宋体" w:hAnsi="宋体"/>
          <w:sz w:val="24"/>
        </w:rPr>
        <w:t>信用中国</w:t>
      </w:r>
      <w:r>
        <w:rPr>
          <w:rFonts w:hint="eastAsia" w:ascii="宋体"/>
          <w:sz w:val="24"/>
        </w:rPr>
        <w:t>”</w:t>
      </w:r>
      <w:r>
        <w:rPr>
          <w:rFonts w:hint="eastAsia" w:ascii="宋体" w:hAnsi="宋体"/>
          <w:sz w:val="24"/>
        </w:rPr>
        <w:t>网站</w:t>
      </w:r>
      <w:r>
        <w:rPr>
          <w:rFonts w:ascii="宋体" w:hAnsi="宋体"/>
          <w:sz w:val="24"/>
        </w:rPr>
        <w:t>http://www.creditchina.gov.cn/</w:t>
      </w:r>
      <w:r>
        <w:rPr>
          <w:rFonts w:hint="eastAsia" w:ascii="宋体" w:hAnsi="宋体"/>
          <w:sz w:val="24"/>
        </w:rPr>
        <w:t>查询信息为准）：</w:t>
      </w:r>
      <w:r>
        <w:rPr>
          <w:rFonts w:ascii="宋体"/>
          <w:sz w:val="24"/>
        </w:rPr>
        <w:br w:type="textWrapping"/>
      </w:r>
      <w:r>
        <w:rPr>
          <w:rFonts w:ascii="宋体" w:hAnsi="宋体"/>
          <w:sz w:val="24"/>
        </w:rPr>
        <w:t xml:space="preserve"> 1)</w:t>
      </w:r>
      <w:r>
        <w:rPr>
          <w:rFonts w:hint="eastAsia" w:ascii="宋体" w:hAnsi="宋体"/>
          <w:sz w:val="24"/>
        </w:rPr>
        <w:t>投标人被人民法院列入失信被执行人的。</w:t>
      </w:r>
      <w:r>
        <w:rPr>
          <w:rFonts w:ascii="宋体"/>
          <w:sz w:val="24"/>
        </w:rPr>
        <w:br w:type="textWrapping"/>
      </w:r>
      <w:r>
        <w:rPr>
          <w:rFonts w:ascii="宋体" w:hAnsi="宋体"/>
          <w:sz w:val="24"/>
        </w:rPr>
        <w:t xml:space="preserve"> 2)</w:t>
      </w:r>
      <w:r>
        <w:rPr>
          <w:rFonts w:hint="eastAsia" w:ascii="宋体" w:hAnsi="宋体"/>
          <w:sz w:val="24"/>
        </w:rPr>
        <w:t>投标人被列入政府采购严重违法失信名单的。</w:t>
      </w:r>
      <w:r>
        <w:rPr>
          <w:rFonts w:ascii="宋体"/>
          <w:sz w:val="24"/>
        </w:rPr>
        <w:t> </w:t>
      </w:r>
      <w:r>
        <w:rPr>
          <w:rFonts w:ascii="宋体"/>
          <w:sz w:val="24"/>
        </w:rPr>
        <w:br w:type="textWrapping"/>
      </w:r>
      <w:r>
        <w:rPr>
          <w:rFonts w:ascii="宋体" w:hAnsi="宋体"/>
          <w:sz w:val="24"/>
        </w:rPr>
        <w:t xml:space="preserve"> 3)</w:t>
      </w:r>
      <w:r>
        <w:rPr>
          <w:rFonts w:hint="eastAsia" w:ascii="宋体" w:hAnsi="宋体"/>
          <w:sz w:val="24"/>
        </w:rPr>
        <w:t>投标人被工商行政管理部门列入企业经营异常名录的。</w:t>
      </w:r>
      <w:r>
        <w:rPr>
          <w:rFonts w:ascii="宋体"/>
          <w:sz w:val="24"/>
        </w:rPr>
        <w:br w:type="textWrapping"/>
      </w:r>
      <w:r>
        <w:rPr>
          <w:rFonts w:ascii="宋体" w:hAnsi="宋体"/>
          <w:sz w:val="24"/>
        </w:rPr>
        <w:t xml:space="preserve"> 4)</w:t>
      </w:r>
      <w:r>
        <w:rPr>
          <w:rFonts w:hint="eastAsia" w:ascii="宋体" w:hAnsi="宋体"/>
          <w:sz w:val="24"/>
        </w:rPr>
        <w:t>投标人被税务部门列入重大税收违法案件当事人名单的。</w:t>
      </w:r>
      <w:r>
        <w:rPr>
          <w:rFonts w:ascii="宋体" w:hAnsi="宋体"/>
          <w:sz w:val="24"/>
        </w:rPr>
        <w:t xml:space="preserve"> </w:t>
      </w:r>
    </w:p>
    <w:p>
      <w:pPr>
        <w:spacing w:line="440" w:lineRule="exact"/>
        <w:ind w:firstLine="480" w:firstLineChars="200"/>
        <w:rPr>
          <w:rFonts w:ascii="宋体"/>
          <w:sz w:val="24"/>
        </w:rPr>
      </w:pPr>
      <w:r>
        <w:rPr>
          <w:rFonts w:hint="eastAsia" w:ascii="宋体" w:hAnsi="宋体"/>
          <w:sz w:val="24"/>
          <w:shd w:val="clear" w:color="auto" w:fill="FDFFFB"/>
        </w:rPr>
        <w:t>6</w:t>
      </w:r>
      <w:r>
        <w:rPr>
          <w:rFonts w:ascii="宋体"/>
          <w:sz w:val="24"/>
          <w:shd w:val="clear" w:color="auto" w:fill="FDFFFB"/>
        </w:rPr>
        <w:t>.</w:t>
      </w:r>
      <w:r>
        <w:rPr>
          <w:rFonts w:hint="eastAsia" w:ascii="宋体" w:hAnsi="宋体"/>
          <w:sz w:val="24"/>
        </w:rPr>
        <w:t>本项目不接受联合体投标。</w:t>
      </w:r>
    </w:p>
    <w:p>
      <w:pPr>
        <w:spacing w:line="440" w:lineRule="exact"/>
        <w:ind w:firstLine="482" w:firstLineChars="200"/>
        <w:rPr>
          <w:rFonts w:ascii="宋体"/>
          <w:sz w:val="24"/>
        </w:rPr>
      </w:pPr>
      <w:r>
        <w:rPr>
          <w:rFonts w:hint="eastAsia"/>
          <w:b/>
          <w:sz w:val="24"/>
        </w:rPr>
        <w:t>注：</w:t>
      </w:r>
      <w:r>
        <w:rPr>
          <w:rFonts w:hint="eastAsia" w:ascii="宋体" w:hAnsi="宋体" w:cs="宋体"/>
          <w:b/>
          <w:kern w:val="0"/>
          <w:sz w:val="24"/>
        </w:rPr>
        <w:t>以上证明文件复印件加盖公章后做入投标文件；</w:t>
      </w:r>
      <w:r>
        <w:rPr>
          <w:rFonts w:ascii="宋体"/>
          <w:sz w:val="24"/>
        </w:rPr>
        <w:t xml:space="preserve"> </w:t>
      </w:r>
    </w:p>
    <w:p>
      <w:pPr>
        <w:spacing w:line="440" w:lineRule="exact"/>
        <w:ind w:firstLine="480" w:firstLineChars="200"/>
        <w:rPr>
          <w:rFonts w:ascii="宋体"/>
          <w:sz w:val="24"/>
        </w:rPr>
      </w:pPr>
    </w:p>
    <w:p>
      <w:pPr>
        <w:spacing w:line="440" w:lineRule="exact"/>
        <w:rPr>
          <w:rFonts w:ascii="宋体"/>
          <w:sz w:val="24"/>
        </w:rPr>
      </w:pPr>
      <w:r>
        <w:rPr>
          <w:rFonts w:hint="eastAsia" w:ascii="宋体" w:hAnsi="宋体"/>
          <w:b/>
          <w:sz w:val="24"/>
        </w:rPr>
        <w:t>三、招标文件领取方法</w:t>
      </w:r>
      <w:r>
        <w:rPr>
          <w:rFonts w:hint="eastAsia" w:ascii="宋体" w:hAnsi="宋体"/>
          <w:sz w:val="24"/>
        </w:rPr>
        <w:t>：</w:t>
      </w:r>
      <w:r>
        <w:rPr>
          <w:rFonts w:ascii="宋体"/>
          <w:sz w:val="24"/>
        </w:rPr>
        <w:t> </w:t>
      </w:r>
    </w:p>
    <w:p>
      <w:pPr>
        <w:spacing w:line="440" w:lineRule="exact"/>
        <w:ind w:firstLine="465"/>
        <w:rPr>
          <w:rFonts w:ascii="宋体"/>
          <w:sz w:val="24"/>
        </w:rPr>
      </w:pPr>
      <w:r>
        <w:rPr>
          <w:rFonts w:ascii="宋体" w:hAnsi="宋体"/>
          <w:sz w:val="24"/>
        </w:rPr>
        <w:t>1.</w:t>
      </w:r>
      <w:r>
        <w:rPr>
          <w:rFonts w:hint="eastAsia" w:ascii="宋体" w:hAnsi="宋体"/>
          <w:sz w:val="24"/>
        </w:rPr>
        <w:t>领取日期：2019年11月</w:t>
      </w:r>
      <w:r>
        <w:rPr>
          <w:rFonts w:hint="eastAsia" w:ascii="宋体" w:hAnsi="宋体"/>
          <w:sz w:val="24"/>
          <w:lang w:val="en-US" w:eastAsia="zh-CN"/>
        </w:rPr>
        <w:t>27</w:t>
      </w:r>
      <w:r>
        <w:rPr>
          <w:rFonts w:hint="eastAsia" w:ascii="宋体" w:hAnsi="宋体"/>
          <w:sz w:val="24"/>
        </w:rPr>
        <w:t>日</w:t>
      </w:r>
      <w:r>
        <w:rPr>
          <w:rFonts w:ascii="宋体" w:hAnsi="宋体"/>
          <w:sz w:val="24"/>
        </w:rPr>
        <w:t>—</w:t>
      </w:r>
      <w:r>
        <w:rPr>
          <w:rFonts w:hint="eastAsia" w:ascii="宋体" w:hAnsi="宋体"/>
          <w:sz w:val="24"/>
        </w:rPr>
        <w:t>2019年1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p>
    <w:p>
      <w:pPr>
        <w:spacing w:line="440" w:lineRule="exact"/>
        <w:ind w:firstLine="465"/>
        <w:rPr>
          <w:rFonts w:ascii="宋体"/>
          <w:sz w:val="24"/>
        </w:rPr>
      </w:pPr>
      <w:r>
        <w:rPr>
          <w:rFonts w:ascii="宋体" w:hAnsi="宋体"/>
          <w:sz w:val="24"/>
        </w:rPr>
        <w:t>2.</w:t>
      </w:r>
      <w:r>
        <w:rPr>
          <w:rFonts w:hint="eastAsia" w:ascii="宋体" w:hAnsi="宋体"/>
          <w:sz w:val="24"/>
        </w:rPr>
        <w:t>领取方法：登录网站</w:t>
      </w:r>
      <w:r>
        <w:fldChar w:fldCharType="begin"/>
      </w:r>
      <w:r>
        <w:instrText xml:space="preserve"> HYPERLINK "http://www.hfbh.com.cn/" \t "_blank" </w:instrText>
      </w:r>
      <w:r>
        <w:fldChar w:fldCharType="separate"/>
      </w:r>
      <w:r>
        <w:rPr>
          <w:rStyle w:val="28"/>
          <w:rFonts w:ascii="宋体" w:hAnsi="宋体"/>
          <w:color w:val="auto"/>
          <w:sz w:val="24"/>
          <w:u w:val="none"/>
        </w:rPr>
        <w:t>www.hfbh.com.cn</w:t>
      </w:r>
      <w:r>
        <w:rPr>
          <w:rStyle w:val="28"/>
          <w:rFonts w:ascii="宋体" w:hAnsi="宋体"/>
          <w:color w:val="auto"/>
          <w:sz w:val="24"/>
          <w:u w:val="none"/>
        </w:rPr>
        <w:fldChar w:fldCharType="end"/>
      </w:r>
      <w:r>
        <w:rPr>
          <w:rFonts w:hint="eastAsia" w:ascii="宋体" w:hAnsi="宋体"/>
          <w:sz w:val="24"/>
        </w:rPr>
        <w:t>下载标书（下标书的投标单位按要求参加资格审查）。</w:t>
      </w:r>
      <w:r>
        <w:rPr>
          <w:rFonts w:ascii="宋体"/>
          <w:sz w:val="24"/>
        </w:rPr>
        <w:br w:type="textWrapping"/>
      </w:r>
      <w:r>
        <w:rPr>
          <w:rFonts w:hint="eastAsia" w:ascii="宋体" w:hAnsi="宋体"/>
          <w:b/>
          <w:sz w:val="24"/>
        </w:rPr>
        <w:t>四、资格预审时间：</w:t>
      </w:r>
    </w:p>
    <w:p>
      <w:pPr>
        <w:spacing w:line="440" w:lineRule="exact"/>
        <w:ind w:firstLine="480" w:firstLineChars="200"/>
        <w:rPr>
          <w:rFonts w:ascii="宋体"/>
          <w:sz w:val="24"/>
        </w:rPr>
      </w:pPr>
      <w:r>
        <w:rPr>
          <w:rFonts w:hint="eastAsia" w:ascii="宋体" w:hAnsi="宋体"/>
          <w:sz w:val="24"/>
        </w:rPr>
        <w:t>2019年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4</w:t>
      </w:r>
      <w:r>
        <w:rPr>
          <w:rFonts w:hint="eastAsia" w:ascii="宋体" w:hAnsi="宋体"/>
          <w:sz w:val="24"/>
        </w:rPr>
        <w:t>日12:00前（周六下午、周日除外）每天</w:t>
      </w:r>
      <w:r>
        <w:rPr>
          <w:rFonts w:ascii="宋体" w:hAnsi="宋体"/>
          <w:sz w:val="24"/>
        </w:rPr>
        <w:t>9:00-11</w:t>
      </w:r>
      <w:r>
        <w:rPr>
          <w:rFonts w:hint="eastAsia" w:ascii="宋体" w:hAnsi="宋体"/>
          <w:sz w:val="24"/>
        </w:rPr>
        <w:t>：</w:t>
      </w:r>
      <w:r>
        <w:rPr>
          <w:rFonts w:ascii="宋体" w:hAnsi="宋体"/>
          <w:sz w:val="24"/>
        </w:rPr>
        <w:t>3</w:t>
      </w:r>
      <w:r>
        <w:rPr>
          <w:rFonts w:ascii="宋体"/>
          <w:sz w:val="24"/>
        </w:rPr>
        <w:t>0</w:t>
      </w:r>
      <w:r>
        <w:rPr>
          <w:rFonts w:hint="eastAsia" w:ascii="宋体" w:hAnsi="宋体"/>
          <w:sz w:val="24"/>
        </w:rPr>
        <w:t>、</w:t>
      </w:r>
      <w:r>
        <w:rPr>
          <w:rFonts w:ascii="宋体" w:hAnsi="宋体"/>
          <w:sz w:val="24"/>
        </w:rPr>
        <w:t>14:30-17:30</w:t>
      </w:r>
      <w:r>
        <w:rPr>
          <w:rFonts w:hint="eastAsia" w:ascii="宋体" w:hAnsi="宋体"/>
          <w:sz w:val="24"/>
        </w:rPr>
        <w:t>意向投标人应携带招标文件中要求提供投标人资格要求的证明文件（原件查看，复印件留存）送至合肥百货大楼集团蚌埠百大购物中心有限责任公司宝龙店招投标管理部（合肥市蜀山区黄山路</w:t>
      </w:r>
      <w:r>
        <w:rPr>
          <w:rFonts w:ascii="宋体" w:hAnsi="宋体"/>
          <w:sz w:val="24"/>
        </w:rPr>
        <w:t>596</w:t>
      </w:r>
      <w:r>
        <w:rPr>
          <w:rFonts w:hint="eastAsia" w:ascii="宋体" w:hAnsi="宋体"/>
          <w:sz w:val="24"/>
        </w:rPr>
        <w:t>号合肥百大集团</w:t>
      </w:r>
      <w:r>
        <w:rPr>
          <w:rFonts w:ascii="宋体" w:hAnsi="宋体"/>
          <w:sz w:val="24"/>
        </w:rPr>
        <w:t>1206</w:t>
      </w:r>
      <w:r>
        <w:rPr>
          <w:rFonts w:hint="eastAsia" w:ascii="宋体" w:hAnsi="宋体"/>
          <w:sz w:val="24"/>
        </w:rPr>
        <w:t>室）接受资格审查，审查合格的投标单位以转账的方式缴纳投标保证金，未按时参加资格审查的投标人，招标人有权不接受其投标。</w:t>
      </w:r>
      <w:r>
        <w:rPr>
          <w:rFonts w:ascii="宋体"/>
          <w:sz w:val="24"/>
        </w:rPr>
        <w:t> </w:t>
      </w:r>
    </w:p>
    <w:p>
      <w:pPr>
        <w:spacing w:line="440" w:lineRule="exact"/>
        <w:rPr>
          <w:rFonts w:ascii="宋体"/>
          <w:sz w:val="24"/>
        </w:rPr>
      </w:pPr>
      <w:r>
        <w:rPr>
          <w:rFonts w:hint="eastAsia" w:ascii="宋体" w:hAnsi="宋体"/>
          <w:b/>
          <w:sz w:val="24"/>
        </w:rPr>
        <w:t>五、投标保证金：</w:t>
      </w:r>
      <w:r>
        <w:rPr>
          <w:rFonts w:hint="eastAsia" w:ascii="宋体" w:hAnsi="宋体"/>
          <w:sz w:val="24"/>
        </w:rPr>
        <w:t>2019年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4</w:t>
      </w:r>
      <w:r>
        <w:rPr>
          <w:rFonts w:hint="eastAsia" w:ascii="宋体" w:hAnsi="宋体"/>
          <w:sz w:val="24"/>
        </w:rPr>
        <w:t>日</w:t>
      </w:r>
      <w:r>
        <w:rPr>
          <w:rFonts w:ascii="宋体" w:hAnsi="宋体"/>
          <w:sz w:val="24"/>
        </w:rPr>
        <w:t>16</w:t>
      </w:r>
      <w:r>
        <w:rPr>
          <w:rFonts w:hint="eastAsia" w:ascii="宋体" w:hAnsi="宋体"/>
          <w:sz w:val="24"/>
        </w:rPr>
        <w:t>：</w:t>
      </w:r>
      <w:r>
        <w:rPr>
          <w:rFonts w:ascii="宋体"/>
          <w:sz w:val="24"/>
        </w:rPr>
        <w:t>00</w:t>
      </w:r>
      <w:r>
        <w:rPr>
          <w:rFonts w:hint="eastAsia" w:ascii="宋体" w:hAnsi="宋体"/>
          <w:sz w:val="24"/>
        </w:rPr>
        <w:t>前（以实际到账时间为准）通过转账的方式缴纳投标保证金</w:t>
      </w:r>
      <w:r>
        <w:rPr>
          <w:rFonts w:hint="eastAsia" w:ascii="宋体" w:hAnsi="宋体"/>
          <w:b/>
          <w:sz w:val="24"/>
        </w:rPr>
        <w:t>伍仟元，</w:t>
      </w:r>
      <w:r>
        <w:rPr>
          <w:rFonts w:hint="eastAsia" w:ascii="宋体" w:hAnsi="宋体"/>
          <w:sz w:val="24"/>
        </w:rPr>
        <w:t>如中标，该保证金待投标单位缴纳履约保证金后无息退还；如未中标，招标结束后无息退还。</w:t>
      </w:r>
    </w:p>
    <w:p>
      <w:pPr>
        <w:autoSpaceDE w:val="0"/>
        <w:autoSpaceDN w:val="0"/>
        <w:adjustRightInd w:val="0"/>
        <w:spacing w:line="440" w:lineRule="exact"/>
        <w:ind w:firstLine="480" w:firstLineChars="200"/>
        <w:jc w:val="left"/>
        <w:rPr>
          <w:rFonts w:ascii="宋体" w:cs="宋体"/>
          <w:kern w:val="0"/>
          <w:sz w:val="24"/>
          <w:lang w:val="zh-CN"/>
        </w:rPr>
      </w:pPr>
      <w:r>
        <w:rPr>
          <w:rFonts w:hint="eastAsia" w:ascii="宋体" w:hAnsi="宋体" w:cs="宋体"/>
          <w:kern w:val="0"/>
          <w:sz w:val="24"/>
          <w:lang w:val="zh-CN"/>
        </w:rPr>
        <w:t>名</w:t>
      </w:r>
      <w:r>
        <w:rPr>
          <w:rFonts w:ascii="宋体" w:hAnsi="宋体" w:cs="宋体"/>
          <w:kern w:val="0"/>
          <w:sz w:val="24"/>
          <w:lang w:val="zh-CN"/>
        </w:rPr>
        <w:t xml:space="preserve">  </w:t>
      </w:r>
      <w:r>
        <w:rPr>
          <w:rFonts w:hint="eastAsia" w:ascii="宋体" w:hAnsi="宋体" w:cs="宋体"/>
          <w:kern w:val="0"/>
          <w:sz w:val="24"/>
          <w:lang w:val="zh-CN"/>
        </w:rPr>
        <w:t>称：合肥百货大楼集团蚌埠百大购物中心有限责任公司宝龙店</w:t>
      </w:r>
      <w:r>
        <w:rPr>
          <w:rFonts w:ascii="宋体" w:hAnsi="宋体" w:cs="宋体"/>
          <w:kern w:val="0"/>
          <w:sz w:val="24"/>
          <w:lang w:val="zh-CN"/>
        </w:rPr>
        <w:t xml:space="preserve">                </w:t>
      </w:r>
    </w:p>
    <w:p>
      <w:pPr>
        <w:spacing w:line="440" w:lineRule="exact"/>
        <w:ind w:left="60" w:firstLine="420"/>
        <w:rPr>
          <w:rFonts w:ascii="宋体" w:hAnsi="宋体"/>
          <w:sz w:val="24"/>
        </w:rPr>
      </w:pPr>
      <w:r>
        <w:rPr>
          <w:rFonts w:hint="eastAsia" w:ascii="宋体" w:hAnsi="宋体"/>
          <w:sz w:val="24"/>
        </w:rPr>
        <w:t>开户行：中国农业银行股份有限公司蚌埠科苑支行</w:t>
      </w:r>
    </w:p>
    <w:p>
      <w:pPr>
        <w:spacing w:line="440" w:lineRule="exact"/>
        <w:ind w:left="60" w:firstLine="420"/>
        <w:rPr>
          <w:rFonts w:ascii="宋体" w:hAnsi="宋体" w:cs="宋体"/>
          <w:kern w:val="0"/>
          <w:sz w:val="24"/>
          <w:lang w:val="zh-CN"/>
        </w:rPr>
      </w:pPr>
      <w:r>
        <w:rPr>
          <w:rFonts w:hint="eastAsia" w:ascii="宋体" w:hAnsi="宋体" w:cs="宋体"/>
          <w:kern w:val="0"/>
          <w:sz w:val="24"/>
          <w:lang w:val="zh-CN"/>
        </w:rPr>
        <w:t>账</w:t>
      </w:r>
      <w:r>
        <w:rPr>
          <w:rFonts w:ascii="宋体" w:hAnsi="宋体" w:cs="宋体"/>
          <w:kern w:val="0"/>
          <w:sz w:val="24"/>
          <w:lang w:val="zh-CN"/>
        </w:rPr>
        <w:t xml:space="preserve">  </w:t>
      </w:r>
      <w:r>
        <w:rPr>
          <w:rFonts w:hint="eastAsia" w:ascii="宋体" w:hAnsi="宋体" w:cs="宋体"/>
          <w:kern w:val="0"/>
          <w:sz w:val="24"/>
          <w:lang w:val="zh-CN"/>
        </w:rPr>
        <w:t>号：12097001040014526</w:t>
      </w:r>
    </w:p>
    <w:p>
      <w:pPr>
        <w:spacing w:line="440" w:lineRule="exact"/>
        <w:ind w:left="60" w:firstLine="420"/>
        <w:rPr>
          <w:rFonts w:ascii="宋体" w:cs="宋体"/>
          <w:kern w:val="0"/>
          <w:sz w:val="24"/>
          <w:lang w:val="zh-CN"/>
        </w:rPr>
      </w:pPr>
      <w:r>
        <w:rPr>
          <w:rFonts w:hint="eastAsia" w:ascii="宋体" w:hAnsi="宋体" w:cs="宋体"/>
          <w:kern w:val="0"/>
          <w:sz w:val="24"/>
          <w:lang w:val="zh-CN"/>
        </w:rPr>
        <w:t xml:space="preserve">税 </w:t>
      </w:r>
      <w:r>
        <w:rPr>
          <w:rFonts w:ascii="宋体" w:hAnsi="宋体" w:cs="宋体"/>
          <w:kern w:val="0"/>
          <w:sz w:val="24"/>
          <w:lang w:val="zh-CN"/>
        </w:rPr>
        <w:t xml:space="preserve"> </w:t>
      </w:r>
      <w:r>
        <w:rPr>
          <w:rFonts w:hint="eastAsia" w:ascii="宋体" w:hAnsi="宋体" w:cs="宋体"/>
          <w:kern w:val="0"/>
          <w:sz w:val="24"/>
          <w:lang w:val="zh-CN"/>
        </w:rPr>
        <w:t>号：913403000570347385</w:t>
      </w:r>
    </w:p>
    <w:p>
      <w:pPr>
        <w:spacing w:line="440" w:lineRule="exact"/>
        <w:ind w:firstLine="420"/>
        <w:rPr>
          <w:rFonts w:ascii="宋体" w:hAnsi="宋体"/>
          <w:sz w:val="24"/>
        </w:rPr>
      </w:pPr>
      <w:r>
        <w:rPr>
          <w:rFonts w:hint="eastAsia" w:ascii="宋体" w:hAnsi="宋体" w:cs="宋体"/>
          <w:kern w:val="0"/>
          <w:sz w:val="24"/>
          <w:lang w:val="zh-CN"/>
        </w:rPr>
        <w:t xml:space="preserve">地 </w:t>
      </w:r>
      <w:r>
        <w:rPr>
          <w:rFonts w:ascii="宋体" w:hAnsi="宋体" w:cs="宋体"/>
          <w:kern w:val="0"/>
          <w:sz w:val="24"/>
          <w:lang w:val="zh-CN"/>
        </w:rPr>
        <w:t xml:space="preserve"> </w:t>
      </w:r>
      <w:r>
        <w:rPr>
          <w:rFonts w:hint="eastAsia" w:ascii="宋体" w:hAnsi="宋体" w:cs="宋体"/>
          <w:kern w:val="0"/>
          <w:sz w:val="24"/>
          <w:lang w:val="zh-CN"/>
        </w:rPr>
        <w:t>址：</w:t>
      </w:r>
      <w:r>
        <w:rPr>
          <w:rFonts w:hint="eastAsia" w:ascii="宋体" w:hAnsi="宋体"/>
          <w:sz w:val="24"/>
        </w:rPr>
        <w:t>蚌埠市涂山东路1596号（兴业街555号宝龙城市广场2号楼）</w:t>
      </w:r>
    </w:p>
    <w:p>
      <w:pPr>
        <w:spacing w:line="440" w:lineRule="exact"/>
        <w:ind w:left="420"/>
        <w:rPr>
          <w:rFonts w:ascii="宋体" w:cs="宋体"/>
          <w:kern w:val="0"/>
          <w:sz w:val="24"/>
          <w:lang w:val="zh-CN"/>
        </w:rPr>
      </w:pPr>
      <w:r>
        <w:rPr>
          <w:rFonts w:hint="eastAsia" w:ascii="宋体" w:hAnsi="宋体"/>
          <w:sz w:val="24"/>
        </w:rPr>
        <w:t xml:space="preserve">电 </w:t>
      </w:r>
      <w:r>
        <w:rPr>
          <w:rFonts w:ascii="宋体" w:hAnsi="宋体"/>
          <w:sz w:val="24"/>
        </w:rPr>
        <w:t xml:space="preserve"> </w:t>
      </w:r>
      <w:r>
        <w:rPr>
          <w:rFonts w:hint="eastAsia" w:ascii="宋体" w:hAnsi="宋体"/>
          <w:sz w:val="24"/>
        </w:rPr>
        <w:t>话：0552-3837669</w:t>
      </w:r>
      <w:r>
        <w:rPr>
          <w:rFonts w:ascii="宋体" w:hAnsi="宋体" w:cs="宋体"/>
          <w:kern w:val="0"/>
          <w:sz w:val="24"/>
          <w:lang w:val="zh-CN"/>
        </w:rPr>
        <w:t xml:space="preserve">          </w:t>
      </w:r>
    </w:p>
    <w:p>
      <w:pPr>
        <w:spacing w:line="440" w:lineRule="exact"/>
        <w:ind w:firstLine="420"/>
        <w:rPr>
          <w:rFonts w:ascii="宋体"/>
          <w:kern w:val="0"/>
          <w:sz w:val="24"/>
        </w:rPr>
      </w:pPr>
      <w:r>
        <w:rPr>
          <w:rFonts w:hint="eastAsia" w:ascii="宋体" w:hAnsi="宋体" w:cs="宋体"/>
          <w:kern w:val="0"/>
          <w:sz w:val="24"/>
          <w:lang w:val="zh-CN"/>
        </w:rPr>
        <w:t>（转帐时请备注“××项目投标保证金”）</w:t>
      </w:r>
    </w:p>
    <w:p>
      <w:pPr>
        <w:spacing w:line="440" w:lineRule="exact"/>
        <w:rPr>
          <w:rFonts w:ascii="宋体"/>
          <w:b/>
          <w:sz w:val="24"/>
        </w:rPr>
      </w:pPr>
      <w:r>
        <w:rPr>
          <w:rFonts w:hint="eastAsia" w:ascii="宋体" w:hAnsi="宋体"/>
          <w:b/>
          <w:sz w:val="24"/>
        </w:rPr>
        <w:t>七、开标时间及地点：</w:t>
      </w:r>
    </w:p>
    <w:p>
      <w:pPr>
        <w:spacing w:line="440" w:lineRule="exact"/>
        <w:ind w:firstLine="480" w:firstLineChars="200"/>
        <w:rPr>
          <w:rFonts w:ascii="宋体"/>
          <w:sz w:val="24"/>
        </w:rPr>
      </w:pPr>
      <w:r>
        <w:rPr>
          <w:rFonts w:ascii="宋体" w:hAnsi="宋体"/>
          <w:sz w:val="24"/>
        </w:rPr>
        <w:t>1.</w:t>
      </w:r>
      <w:r>
        <w:rPr>
          <w:rFonts w:hint="eastAsia" w:ascii="宋体" w:hAnsi="宋体"/>
          <w:sz w:val="24"/>
        </w:rPr>
        <w:t>开标时间：2019年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5</w:t>
      </w:r>
      <w:r>
        <w:rPr>
          <w:rFonts w:hint="eastAsia" w:ascii="宋体" w:hAnsi="宋体"/>
          <w:sz w:val="24"/>
        </w:rPr>
        <w:t>日</w:t>
      </w:r>
      <w:r>
        <w:rPr>
          <w:rFonts w:hint="eastAsia" w:ascii="宋体" w:hAnsi="宋体"/>
          <w:sz w:val="24"/>
          <w:lang w:val="en-US" w:eastAsia="zh-CN"/>
        </w:rPr>
        <w:t>14:30</w:t>
      </w:r>
      <w:r>
        <w:rPr>
          <w:rFonts w:ascii="宋体" w:hAnsi="宋体"/>
          <w:sz w:val="24"/>
        </w:rPr>
        <w:t xml:space="preserve"> </w:t>
      </w:r>
      <w:r>
        <w:rPr>
          <w:rFonts w:hint="eastAsia" w:ascii="宋体" w:hAnsi="宋体"/>
          <w:sz w:val="24"/>
        </w:rPr>
        <w:t>（如有调整，另行通知）</w:t>
      </w:r>
    </w:p>
    <w:p>
      <w:pPr>
        <w:spacing w:line="440" w:lineRule="exact"/>
        <w:ind w:firstLine="480" w:firstLineChars="200"/>
        <w:rPr>
          <w:rFonts w:ascii="宋体"/>
          <w:sz w:val="24"/>
        </w:rPr>
      </w:pPr>
      <w:r>
        <w:rPr>
          <w:rFonts w:ascii="宋体" w:hAnsi="宋体"/>
          <w:sz w:val="24"/>
        </w:rPr>
        <w:t>2.</w:t>
      </w:r>
      <w:r>
        <w:rPr>
          <w:rFonts w:hint="eastAsia" w:ascii="宋体" w:hAnsi="宋体"/>
          <w:sz w:val="24"/>
        </w:rPr>
        <w:t>开标地点：</w:t>
      </w:r>
      <w:r>
        <w:rPr>
          <w:rFonts w:hint="eastAsia" w:ascii="宋体" w:hAnsi="宋体"/>
          <w:kern w:val="0"/>
          <w:sz w:val="24"/>
        </w:rPr>
        <w:t>合肥市黄山路</w:t>
      </w:r>
      <w:r>
        <w:rPr>
          <w:rFonts w:ascii="宋体" w:hAnsi="宋体"/>
          <w:kern w:val="0"/>
          <w:sz w:val="24"/>
        </w:rPr>
        <w:t>596</w:t>
      </w:r>
      <w:r>
        <w:rPr>
          <w:rFonts w:hint="eastAsia" w:ascii="宋体" w:hAnsi="宋体"/>
          <w:kern w:val="0"/>
          <w:sz w:val="24"/>
        </w:rPr>
        <w:t>号合肥百大集团</w:t>
      </w:r>
      <w:r>
        <w:rPr>
          <w:rFonts w:ascii="宋体" w:hAnsi="宋体"/>
          <w:kern w:val="0"/>
          <w:sz w:val="24"/>
        </w:rPr>
        <w:t>12</w:t>
      </w:r>
      <w:r>
        <w:rPr>
          <w:rFonts w:hint="eastAsia" w:ascii="宋体" w:hAnsi="宋体"/>
          <w:kern w:val="0"/>
          <w:sz w:val="24"/>
        </w:rPr>
        <w:t>09室</w:t>
      </w:r>
    </w:p>
    <w:p>
      <w:pPr>
        <w:spacing w:line="440" w:lineRule="exact"/>
        <w:rPr>
          <w:rFonts w:ascii="宋体"/>
          <w:b/>
          <w:sz w:val="24"/>
        </w:rPr>
      </w:pPr>
      <w:r>
        <w:rPr>
          <w:rFonts w:hint="eastAsia" w:ascii="宋体" w:hAnsi="宋体"/>
          <w:b/>
          <w:sz w:val="24"/>
        </w:rPr>
        <w:t>八、联系方式：</w:t>
      </w:r>
    </w:p>
    <w:p>
      <w:pPr>
        <w:spacing w:line="440" w:lineRule="exact"/>
        <w:ind w:firstLine="480" w:firstLineChars="200"/>
        <w:rPr>
          <w:rFonts w:ascii="宋体"/>
          <w:sz w:val="24"/>
        </w:rPr>
      </w:pPr>
      <w:r>
        <w:rPr>
          <w:rFonts w:hint="eastAsia" w:ascii="宋体" w:hAnsi="宋体"/>
          <w:sz w:val="24"/>
        </w:rPr>
        <w:t>现场勘查：联</w:t>
      </w:r>
      <w:r>
        <w:rPr>
          <w:rFonts w:ascii="宋体" w:hAnsi="宋体"/>
          <w:sz w:val="24"/>
        </w:rPr>
        <w:t xml:space="preserve"> </w:t>
      </w:r>
      <w:r>
        <w:rPr>
          <w:rFonts w:hint="eastAsia" w:ascii="宋体" w:hAnsi="宋体"/>
          <w:sz w:val="24"/>
        </w:rPr>
        <w:t>系</w:t>
      </w:r>
      <w:r>
        <w:rPr>
          <w:rFonts w:ascii="宋体" w:hAnsi="宋体"/>
          <w:sz w:val="24"/>
        </w:rPr>
        <w:t xml:space="preserve"> </w:t>
      </w:r>
      <w:r>
        <w:rPr>
          <w:rFonts w:hint="eastAsia" w:ascii="宋体" w:hAnsi="宋体"/>
          <w:sz w:val="24"/>
        </w:rPr>
        <w:t xml:space="preserve">人：路 </w:t>
      </w:r>
      <w:r>
        <w:rPr>
          <w:rFonts w:ascii="宋体" w:hAnsi="宋体"/>
          <w:sz w:val="24"/>
        </w:rPr>
        <w:t xml:space="preserve"> </w:t>
      </w:r>
      <w:r>
        <w:rPr>
          <w:rFonts w:hint="eastAsia" w:ascii="宋体" w:hAnsi="宋体"/>
          <w:sz w:val="24"/>
        </w:rPr>
        <w:t xml:space="preserve">伟  </w:t>
      </w:r>
      <w:r>
        <w:rPr>
          <w:rFonts w:ascii="宋体" w:hAnsi="宋体"/>
          <w:sz w:val="24"/>
        </w:rPr>
        <w:t xml:space="preserve"> </w:t>
      </w:r>
      <w:r>
        <w:rPr>
          <w:rFonts w:ascii="宋体"/>
          <w:sz w:val="24"/>
        </w:rPr>
        <w:t xml:space="preserve">    </w:t>
      </w:r>
      <w:r>
        <w:rPr>
          <w:rFonts w:hint="eastAsia" w:ascii="宋体" w:hAnsi="宋体"/>
          <w:sz w:val="24"/>
        </w:rPr>
        <w:t xml:space="preserve">联系电话：0552-3837678 </w:t>
      </w:r>
    </w:p>
    <w:p>
      <w:pPr>
        <w:spacing w:line="440" w:lineRule="exact"/>
        <w:ind w:firstLine="480" w:firstLineChars="200"/>
        <w:rPr>
          <w:rFonts w:ascii="宋体"/>
          <w:sz w:val="24"/>
        </w:rPr>
      </w:pPr>
      <w:r>
        <w:rPr>
          <w:rFonts w:hint="eastAsia" w:ascii="宋体"/>
          <w:sz w:val="24"/>
        </w:rPr>
        <w:t>资格预审：联</w:t>
      </w:r>
      <w:r>
        <w:rPr>
          <w:rFonts w:ascii="宋体"/>
          <w:sz w:val="24"/>
        </w:rPr>
        <w:t xml:space="preserve"> </w:t>
      </w:r>
      <w:r>
        <w:rPr>
          <w:rFonts w:hint="eastAsia" w:ascii="宋体"/>
          <w:sz w:val="24"/>
        </w:rPr>
        <w:t>系</w:t>
      </w:r>
      <w:r>
        <w:rPr>
          <w:rFonts w:ascii="宋体"/>
          <w:sz w:val="24"/>
        </w:rPr>
        <w:t xml:space="preserve"> </w:t>
      </w:r>
      <w:r>
        <w:rPr>
          <w:rFonts w:hint="eastAsia" w:ascii="宋体"/>
          <w:sz w:val="24"/>
        </w:rPr>
        <w:t>人：朱</w:t>
      </w:r>
      <w:r>
        <w:rPr>
          <w:rFonts w:ascii="宋体"/>
          <w:sz w:val="24"/>
        </w:rPr>
        <w:t xml:space="preserve">  </w:t>
      </w:r>
      <w:r>
        <w:rPr>
          <w:rFonts w:hint="eastAsia" w:ascii="宋体"/>
          <w:sz w:val="24"/>
        </w:rPr>
        <w:t>工</w:t>
      </w:r>
      <w:r>
        <w:rPr>
          <w:rFonts w:ascii="宋体"/>
          <w:b/>
          <w:sz w:val="24"/>
        </w:rPr>
        <w:t xml:space="preserve">    </w:t>
      </w:r>
      <w:r>
        <w:rPr>
          <w:rFonts w:ascii="宋体"/>
          <w:sz w:val="24"/>
        </w:rPr>
        <w:t xml:space="preserve">   </w:t>
      </w:r>
      <w:r>
        <w:rPr>
          <w:rFonts w:hint="eastAsia" w:ascii="宋体"/>
          <w:sz w:val="24"/>
        </w:rPr>
        <w:t>联系电话：</w:t>
      </w:r>
      <w:r>
        <w:rPr>
          <w:rFonts w:ascii="宋体"/>
          <w:sz w:val="24"/>
        </w:rPr>
        <w:t>0551-65771025</w:t>
      </w: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spacing w:line="440" w:lineRule="exact"/>
        <w:ind w:firstLine="480" w:firstLineChars="200"/>
        <w:rPr>
          <w:rFonts w:ascii="宋体"/>
          <w:sz w:val="24"/>
        </w:rPr>
      </w:pPr>
    </w:p>
    <w:p>
      <w:pPr>
        <w:pStyle w:val="2"/>
        <w:numPr>
          <w:ilvl w:val="0"/>
          <w:numId w:val="0"/>
        </w:numPr>
      </w:pPr>
      <w:bookmarkStart w:id="2" w:name="_Toc13732417"/>
      <w:bookmarkStart w:id="3" w:name="_Toc491005865"/>
      <w:bookmarkStart w:id="4" w:name="_Toc486433785"/>
      <w:r>
        <w:rPr>
          <w:rFonts w:hint="eastAsia"/>
        </w:rPr>
        <w:t>第二章</w:t>
      </w:r>
      <w:r>
        <w:t xml:space="preserve"> </w:t>
      </w:r>
      <w:r>
        <w:rPr>
          <w:rFonts w:hint="eastAsia"/>
        </w:rPr>
        <w:t xml:space="preserve"> 投标人须知前附表</w:t>
      </w:r>
      <w:bookmarkEnd w:id="2"/>
      <w:bookmarkEnd w:id="3"/>
      <w:bookmarkEnd w:id="4"/>
    </w:p>
    <w:p/>
    <w:tbl>
      <w:tblPr>
        <w:tblStyle w:val="2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686"/>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b/>
                <w:sz w:val="24"/>
              </w:rPr>
            </w:pPr>
            <w:r>
              <w:rPr>
                <w:rFonts w:hint="eastAsia" w:ascii="宋体" w:hAnsi="宋体"/>
                <w:b/>
                <w:sz w:val="24"/>
              </w:rPr>
              <w:t>序号</w:t>
            </w:r>
          </w:p>
        </w:tc>
        <w:tc>
          <w:tcPr>
            <w:tcW w:w="1686" w:type="dxa"/>
            <w:vAlign w:val="center"/>
          </w:tcPr>
          <w:p>
            <w:pPr>
              <w:jc w:val="center"/>
              <w:rPr>
                <w:rFonts w:ascii="宋体"/>
                <w:b/>
                <w:sz w:val="24"/>
              </w:rPr>
            </w:pPr>
            <w:r>
              <w:rPr>
                <w:rFonts w:hint="eastAsia" w:ascii="宋体" w:hAnsi="宋体"/>
                <w:b/>
                <w:sz w:val="24"/>
              </w:rPr>
              <w:t>内容</w:t>
            </w:r>
          </w:p>
        </w:tc>
        <w:tc>
          <w:tcPr>
            <w:tcW w:w="6379" w:type="dxa"/>
            <w:vAlign w:val="center"/>
          </w:tcPr>
          <w:p>
            <w:pPr>
              <w:pStyle w:val="49"/>
              <w:widowControl w:val="0"/>
              <w:spacing w:before="0" w:beforeAutospacing="0" w:after="0" w:afterAutospacing="0"/>
              <w:rPr>
                <w:bCs w:val="0"/>
                <w:kern w:val="2"/>
                <w:sz w:val="24"/>
                <w:szCs w:val="20"/>
              </w:rPr>
            </w:pPr>
            <w:r>
              <w:rPr>
                <w:rFonts w:hint="eastAsia"/>
                <w:bCs w:val="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pStyle w:val="50"/>
              <w:pBdr>
                <w:bottom w:val="none" w:color="auto" w:sz="0" w:space="0"/>
              </w:pBdr>
              <w:tabs>
                <w:tab w:val="clear" w:pos="4153"/>
                <w:tab w:val="clear" w:pos="8306"/>
              </w:tabs>
              <w:adjustRightInd/>
              <w:spacing w:line="240" w:lineRule="auto"/>
              <w:textAlignment w:val="auto"/>
              <w:rPr>
                <w:rFonts w:ascii="宋体"/>
                <w:bCs/>
                <w:kern w:val="2"/>
              </w:rPr>
            </w:pPr>
            <w:r>
              <w:rPr>
                <w:rFonts w:ascii="宋体" w:hAnsi="宋体"/>
                <w:bCs/>
                <w:kern w:val="2"/>
              </w:rPr>
              <w:t>1</w:t>
            </w:r>
          </w:p>
        </w:tc>
        <w:tc>
          <w:tcPr>
            <w:tcW w:w="1686" w:type="dxa"/>
            <w:vAlign w:val="center"/>
          </w:tcPr>
          <w:p>
            <w:pPr>
              <w:jc w:val="center"/>
              <w:rPr>
                <w:rFonts w:ascii="宋体"/>
                <w:bCs/>
                <w:sz w:val="24"/>
              </w:rPr>
            </w:pPr>
            <w:r>
              <w:rPr>
                <w:rFonts w:hint="eastAsia" w:ascii="宋体" w:hAnsi="宋体"/>
                <w:bCs/>
                <w:sz w:val="24"/>
              </w:rPr>
              <w:t>招标人</w:t>
            </w:r>
          </w:p>
        </w:tc>
        <w:tc>
          <w:tcPr>
            <w:tcW w:w="6379" w:type="dxa"/>
            <w:vAlign w:val="center"/>
          </w:tcPr>
          <w:p>
            <w:pPr>
              <w:pStyle w:val="49"/>
              <w:widowControl w:val="0"/>
              <w:spacing w:before="0" w:beforeAutospacing="0" w:after="0" w:afterAutospacing="0"/>
              <w:jc w:val="both"/>
              <w:rPr>
                <w:b w:val="0"/>
                <w:kern w:val="2"/>
                <w:sz w:val="24"/>
                <w:szCs w:val="20"/>
              </w:rPr>
            </w:pPr>
            <w:r>
              <w:rPr>
                <w:rFonts w:hint="eastAsia"/>
                <w:b w:val="0"/>
                <w:kern w:val="2"/>
                <w:sz w:val="24"/>
                <w:szCs w:val="20"/>
              </w:rPr>
              <w:t>合肥百货大楼集团蚌埠百大购物中心有限责任公司宝龙店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bCs/>
                <w:sz w:val="24"/>
              </w:rPr>
            </w:pPr>
            <w:r>
              <w:rPr>
                <w:rFonts w:ascii="宋体" w:hAnsi="宋体"/>
                <w:bCs/>
                <w:sz w:val="24"/>
              </w:rPr>
              <w:t>2</w:t>
            </w:r>
          </w:p>
        </w:tc>
        <w:tc>
          <w:tcPr>
            <w:tcW w:w="1686" w:type="dxa"/>
            <w:vAlign w:val="center"/>
          </w:tcPr>
          <w:p>
            <w:pPr>
              <w:jc w:val="center"/>
              <w:rPr>
                <w:rFonts w:ascii="宋体"/>
                <w:sz w:val="24"/>
              </w:rPr>
            </w:pPr>
            <w:r>
              <w:rPr>
                <w:rFonts w:hint="eastAsia" w:ascii="宋体" w:hAnsi="宋体"/>
                <w:sz w:val="24"/>
              </w:rPr>
              <w:t>项目名称</w:t>
            </w:r>
          </w:p>
        </w:tc>
        <w:tc>
          <w:tcPr>
            <w:tcW w:w="6379" w:type="dxa"/>
            <w:vAlign w:val="center"/>
          </w:tcPr>
          <w:p>
            <w:pPr>
              <w:pStyle w:val="49"/>
              <w:widowControl w:val="0"/>
              <w:spacing w:before="0" w:beforeAutospacing="0" w:after="0" w:afterAutospacing="0"/>
              <w:jc w:val="both"/>
              <w:rPr>
                <w:b w:val="0"/>
                <w:bCs w:val="0"/>
                <w:sz w:val="24"/>
                <w:szCs w:val="18"/>
              </w:rPr>
            </w:pPr>
            <w:r>
              <w:rPr>
                <w:rFonts w:hint="eastAsia"/>
                <w:b w:val="0"/>
                <w:bCs w:val="0"/>
                <w:sz w:val="24"/>
              </w:rPr>
              <w:t>百大宝龙店视频监控系统升级改造工程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bCs/>
                <w:sz w:val="24"/>
              </w:rPr>
            </w:pPr>
            <w:r>
              <w:rPr>
                <w:rFonts w:ascii="宋体" w:hAnsi="宋体"/>
                <w:bCs/>
                <w:sz w:val="24"/>
              </w:rPr>
              <w:t>3</w:t>
            </w:r>
          </w:p>
        </w:tc>
        <w:tc>
          <w:tcPr>
            <w:tcW w:w="1686" w:type="dxa"/>
            <w:vAlign w:val="center"/>
          </w:tcPr>
          <w:p>
            <w:pPr>
              <w:jc w:val="center"/>
              <w:rPr>
                <w:rFonts w:ascii="宋体"/>
                <w:sz w:val="24"/>
              </w:rPr>
            </w:pPr>
            <w:r>
              <w:rPr>
                <w:rFonts w:hint="eastAsia" w:ascii="宋体" w:hAnsi="宋体"/>
                <w:sz w:val="24"/>
              </w:rPr>
              <w:t>项目编号</w:t>
            </w:r>
          </w:p>
        </w:tc>
        <w:tc>
          <w:tcPr>
            <w:tcW w:w="6379" w:type="dxa"/>
            <w:vAlign w:val="center"/>
          </w:tcPr>
          <w:p>
            <w:pPr>
              <w:pStyle w:val="49"/>
              <w:widowControl w:val="0"/>
              <w:spacing w:before="0" w:beforeAutospacing="0" w:after="0" w:afterAutospacing="0"/>
              <w:jc w:val="both"/>
              <w:rPr>
                <w:b w:val="0"/>
                <w:bCs w:val="0"/>
                <w:sz w:val="24"/>
                <w:szCs w:val="18"/>
              </w:rPr>
            </w:pPr>
            <w:r>
              <w:rPr>
                <w:b w:val="0"/>
                <w:bCs w:val="0"/>
                <w:sz w:val="24"/>
                <w:szCs w:val="18"/>
              </w:rPr>
              <w:t>HBZ-1911</w:t>
            </w:r>
            <w:r>
              <w:rPr>
                <w:rFonts w:hint="eastAsia"/>
                <w:b w:val="0"/>
                <w:bCs w:val="0"/>
                <w:sz w:val="24"/>
                <w:szCs w:val="18"/>
                <w:lang w:val="en-US" w:eastAsia="zh-CN"/>
              </w:rPr>
              <w:t>59</w:t>
            </w:r>
            <w:r>
              <w:rPr>
                <w:b w:val="0"/>
                <w:bCs w:val="0"/>
                <w:sz w:val="24"/>
                <w:szCs w:val="18"/>
              </w:rPr>
              <w:t>-BBBL01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bCs/>
                <w:sz w:val="24"/>
              </w:rPr>
            </w:pPr>
            <w:r>
              <w:rPr>
                <w:rFonts w:ascii="宋体" w:hAnsi="宋体"/>
                <w:bCs/>
                <w:sz w:val="24"/>
              </w:rPr>
              <w:t>4</w:t>
            </w:r>
          </w:p>
        </w:tc>
        <w:tc>
          <w:tcPr>
            <w:tcW w:w="1686" w:type="dxa"/>
            <w:vAlign w:val="center"/>
          </w:tcPr>
          <w:p>
            <w:pPr>
              <w:jc w:val="center"/>
              <w:rPr>
                <w:rFonts w:ascii="宋体"/>
                <w:sz w:val="24"/>
              </w:rPr>
            </w:pPr>
            <w:r>
              <w:rPr>
                <w:rFonts w:hint="eastAsia" w:ascii="宋体" w:hAnsi="宋体"/>
                <w:sz w:val="24"/>
              </w:rPr>
              <w:t>项目性质</w:t>
            </w:r>
          </w:p>
        </w:tc>
        <w:tc>
          <w:tcPr>
            <w:tcW w:w="6379" w:type="dxa"/>
            <w:vAlign w:val="center"/>
          </w:tcPr>
          <w:p>
            <w:pPr>
              <w:pStyle w:val="49"/>
              <w:widowControl w:val="0"/>
              <w:spacing w:before="0" w:beforeAutospacing="0" w:after="0" w:afterAutospacing="0"/>
              <w:jc w:val="both"/>
              <w:rPr>
                <w:b w:val="0"/>
                <w:bCs w:val="0"/>
                <w:sz w:val="24"/>
              </w:rPr>
            </w:pPr>
            <w:r>
              <w:rPr>
                <w:rFonts w:hint="eastAsia"/>
                <w:b w:val="0"/>
                <w:bCs w:val="0"/>
                <w:sz w:val="24"/>
              </w:rPr>
              <w:t>货物类</w:t>
            </w:r>
            <w:r>
              <w:rPr>
                <w:b w:val="0"/>
                <w:bCs w:val="0"/>
                <w:sz w:val="24"/>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jc w:val="center"/>
              <w:rPr>
                <w:rFonts w:ascii="宋体"/>
                <w:bCs/>
                <w:sz w:val="24"/>
              </w:rPr>
            </w:pPr>
            <w:r>
              <w:rPr>
                <w:rFonts w:ascii="宋体" w:hAnsi="宋体"/>
                <w:bCs/>
                <w:sz w:val="24"/>
              </w:rPr>
              <w:t>5</w:t>
            </w:r>
          </w:p>
        </w:tc>
        <w:tc>
          <w:tcPr>
            <w:tcW w:w="1686" w:type="dxa"/>
            <w:vAlign w:val="center"/>
          </w:tcPr>
          <w:p>
            <w:pPr>
              <w:jc w:val="center"/>
              <w:rPr>
                <w:rFonts w:ascii="宋体"/>
                <w:sz w:val="24"/>
              </w:rPr>
            </w:pPr>
            <w:r>
              <w:rPr>
                <w:rFonts w:hint="eastAsia" w:ascii="宋体" w:hAnsi="宋体"/>
                <w:sz w:val="24"/>
              </w:rPr>
              <w:t>资金来源</w:t>
            </w:r>
          </w:p>
        </w:tc>
        <w:tc>
          <w:tcPr>
            <w:tcW w:w="6379" w:type="dxa"/>
            <w:vAlign w:val="center"/>
          </w:tcPr>
          <w:p>
            <w:pPr>
              <w:pStyle w:val="49"/>
              <w:widowControl w:val="0"/>
              <w:spacing w:before="0" w:beforeAutospacing="0" w:after="0" w:afterAutospacing="0"/>
              <w:jc w:val="both"/>
              <w:rPr>
                <w:b w:val="0"/>
                <w:bCs w:val="0"/>
                <w:sz w:val="24"/>
              </w:rPr>
            </w:pPr>
            <w:r>
              <w:rPr>
                <w:rFonts w:hint="eastAsia"/>
                <w:b w:val="0"/>
                <w:bCs w:val="0"/>
                <w:sz w:val="24"/>
              </w:rPr>
              <w:t>□财政投资</w:t>
            </w:r>
            <w:r>
              <w:rPr>
                <w:b w:val="0"/>
                <w:bCs w:val="0"/>
                <w:sz w:val="24"/>
              </w:rPr>
              <w:t xml:space="preserve">   </w:t>
            </w:r>
            <w:r>
              <w:rPr>
                <w:rFonts w:hint="eastAsia" w:hAnsi="Wingdings"/>
                <w:b w:val="0"/>
                <w:bCs w:val="0"/>
                <w:sz w:val="24"/>
                <w:szCs w:val="24"/>
              </w:rPr>
              <w:sym w:font="Wingdings" w:char="F0FE"/>
            </w:r>
            <w:r>
              <w:rPr>
                <w:rFonts w:hint="eastAsia"/>
                <w:b w:val="0"/>
                <w:bCs w:val="0"/>
                <w:sz w:val="24"/>
              </w:rPr>
              <w:t>招标人自筹</w:t>
            </w:r>
            <w:r>
              <w:rPr>
                <w:b w:val="0"/>
                <w:bCs w:val="0"/>
                <w:sz w:val="24"/>
              </w:rPr>
              <w:t xml:space="preserve">  </w:t>
            </w:r>
            <w:r>
              <w:rPr>
                <w:rFonts w:hint="eastAsia"/>
                <w:b w:val="0"/>
                <w:bCs w:val="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66" w:type="dxa"/>
            <w:vAlign w:val="center"/>
          </w:tcPr>
          <w:p>
            <w:pPr>
              <w:spacing w:line="500" w:lineRule="exact"/>
              <w:jc w:val="center"/>
              <w:rPr>
                <w:rFonts w:ascii="宋体"/>
                <w:sz w:val="24"/>
              </w:rPr>
            </w:pPr>
            <w:r>
              <w:rPr>
                <w:rFonts w:ascii="宋体" w:hAnsi="宋体"/>
                <w:sz w:val="24"/>
              </w:rPr>
              <w:t>6</w:t>
            </w:r>
          </w:p>
        </w:tc>
        <w:tc>
          <w:tcPr>
            <w:tcW w:w="1686" w:type="dxa"/>
          </w:tcPr>
          <w:p>
            <w:pPr>
              <w:spacing w:line="500" w:lineRule="exact"/>
              <w:jc w:val="center"/>
              <w:rPr>
                <w:rFonts w:ascii="宋体"/>
                <w:sz w:val="24"/>
                <w:lang w:val="zh-CN"/>
              </w:rPr>
            </w:pPr>
            <w:r>
              <w:rPr>
                <w:rFonts w:hint="eastAsia" w:ascii="宋体" w:hAnsi="宋体"/>
                <w:sz w:val="24"/>
              </w:rPr>
              <w:t>标段划分</w:t>
            </w:r>
          </w:p>
        </w:tc>
        <w:tc>
          <w:tcPr>
            <w:tcW w:w="6379" w:type="dxa"/>
            <w:vAlign w:val="center"/>
          </w:tcPr>
          <w:p>
            <w:pPr>
              <w:spacing w:line="500" w:lineRule="exact"/>
              <w:ind w:left="841" w:hanging="841"/>
              <w:rPr>
                <w:rFonts w:ascii="宋体"/>
                <w:bCs/>
                <w:sz w:val="24"/>
              </w:rPr>
            </w:pPr>
            <w:r>
              <w:rPr>
                <w:b/>
                <w:bCs/>
                <w:sz w:val="24"/>
              </w:rPr>
              <w:sym w:font="Wingdings" w:char="F0FE"/>
            </w:r>
            <w:r>
              <w:rPr>
                <w:rFonts w:hint="eastAsia" w:ascii="宋体" w:hAnsi="宋体"/>
                <w:sz w:val="24"/>
              </w:rPr>
              <w:t>不分标段</w:t>
            </w:r>
            <w:r>
              <w:rPr>
                <w:rFonts w:ascii="宋体" w:hAnsi="宋体"/>
                <w:sz w:val="24"/>
              </w:rPr>
              <w:t xml:space="preserve">   </w:t>
            </w:r>
            <w:r>
              <w:rPr>
                <w:rFonts w:hint="eastAsia" w:ascii="宋体" w:hAnsi="宋体"/>
                <w:sz w:val="24"/>
              </w:rPr>
              <w:t>□分为</w:t>
            </w:r>
            <w:r>
              <w:rPr>
                <w:rFonts w:ascii="宋体" w:hAnsi="宋体"/>
                <w:sz w:val="24"/>
              </w:rPr>
              <w:t xml:space="preserve">  </w:t>
            </w:r>
            <w:r>
              <w:rPr>
                <w:rFonts w:hint="eastAsia" w:ascii="宋体" w:hAnsi="宋体"/>
                <w:sz w:val="24"/>
              </w:rPr>
              <w:t>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866" w:type="dxa"/>
            <w:vAlign w:val="center"/>
          </w:tcPr>
          <w:p>
            <w:pPr>
              <w:spacing w:line="500" w:lineRule="exact"/>
              <w:ind w:right="102"/>
              <w:jc w:val="center"/>
              <w:rPr>
                <w:rFonts w:ascii="宋体"/>
                <w:sz w:val="24"/>
                <w:lang w:val="zh-CN"/>
              </w:rPr>
            </w:pPr>
            <w:r>
              <w:rPr>
                <w:rFonts w:ascii="宋体" w:hAnsi="宋体"/>
                <w:sz w:val="24"/>
                <w:lang w:val="zh-CN"/>
              </w:rPr>
              <w:t>7</w:t>
            </w:r>
          </w:p>
        </w:tc>
        <w:tc>
          <w:tcPr>
            <w:tcW w:w="1686" w:type="dxa"/>
            <w:vAlign w:val="center"/>
          </w:tcPr>
          <w:p>
            <w:pPr>
              <w:spacing w:line="500" w:lineRule="exact"/>
              <w:jc w:val="center"/>
              <w:rPr>
                <w:rFonts w:ascii="宋体"/>
                <w:sz w:val="24"/>
              </w:rPr>
            </w:pPr>
            <w:r>
              <w:rPr>
                <w:rFonts w:hint="eastAsia" w:ascii="宋体" w:hAnsi="宋体"/>
                <w:sz w:val="24"/>
                <w:lang w:val="zh-CN"/>
              </w:rPr>
              <w:t>付款方式</w:t>
            </w:r>
          </w:p>
        </w:tc>
        <w:tc>
          <w:tcPr>
            <w:tcW w:w="6379" w:type="dxa"/>
          </w:tcPr>
          <w:p>
            <w:pPr>
              <w:pStyle w:val="51"/>
              <w:spacing w:line="500" w:lineRule="exact"/>
              <w:rPr>
                <w:rFonts w:ascii="宋体"/>
                <w:bCs/>
              </w:rPr>
            </w:pPr>
            <w:r>
              <w:rPr>
                <w:rFonts w:hint="eastAsia" w:ascii="宋体" w:hAnsi="宋体"/>
                <w:bCs/>
              </w:rPr>
              <w:t>付款方式：货物到场验收合格后支付相应货款的</w:t>
            </w:r>
            <w:r>
              <w:rPr>
                <w:rFonts w:ascii="宋体" w:hAnsi="宋体"/>
                <w:bCs/>
              </w:rPr>
              <w:t>30%</w:t>
            </w:r>
            <w:r>
              <w:rPr>
                <w:rFonts w:hint="eastAsia" w:ascii="宋体" w:hAnsi="宋体"/>
                <w:bCs/>
              </w:rPr>
              <w:t>，项目整体验收合格后支付至合同额的</w:t>
            </w:r>
            <w:r>
              <w:rPr>
                <w:rFonts w:ascii="宋体" w:hAnsi="宋体"/>
                <w:bCs/>
              </w:rPr>
              <w:t>60%</w:t>
            </w:r>
            <w:r>
              <w:rPr>
                <w:rFonts w:hint="eastAsia" w:ascii="宋体" w:hAnsi="宋体"/>
                <w:bCs/>
              </w:rPr>
              <w:t>，决算审计后付至审计额的</w:t>
            </w:r>
            <w:r>
              <w:rPr>
                <w:rFonts w:ascii="宋体" w:hAnsi="宋体"/>
                <w:bCs/>
              </w:rPr>
              <w:t>97%</w:t>
            </w:r>
            <w:r>
              <w:rPr>
                <w:rFonts w:hint="eastAsia" w:ascii="宋体" w:hAnsi="宋体"/>
                <w:bCs/>
              </w:rPr>
              <w:t>，余款作为质保金，质保期满（</w:t>
            </w:r>
            <w:r>
              <w:rPr>
                <w:rFonts w:ascii="宋体" w:hAnsi="宋体"/>
                <w:bCs/>
              </w:rPr>
              <w:t>2</w:t>
            </w:r>
            <w:r>
              <w:rPr>
                <w:rFonts w:hint="eastAsia" w:ascii="宋体" w:hAnsi="宋体"/>
                <w:bCs/>
              </w:rPr>
              <w:t>年）后</w:t>
            </w:r>
            <w:r>
              <w:rPr>
                <w:rFonts w:ascii="宋体" w:hAnsi="宋体"/>
                <w:bCs/>
              </w:rPr>
              <w:t>15</w:t>
            </w:r>
            <w:r>
              <w:rPr>
                <w:rFonts w:hint="eastAsia" w:ascii="宋体" w:hAnsi="宋体"/>
                <w:bCs/>
              </w:rPr>
              <w:t>个工作日内付清（无息）。</w:t>
            </w:r>
          </w:p>
          <w:p>
            <w:pPr>
              <w:pStyle w:val="51"/>
              <w:spacing w:line="500" w:lineRule="exact"/>
              <w:rPr>
                <w:rFonts w:ascii="宋体"/>
                <w:u w:val="single"/>
                <w:lang w:val="zh-CN"/>
              </w:rPr>
            </w:pPr>
            <w:r>
              <w:rPr>
                <w:rFonts w:hint="eastAsia" w:ascii="宋体" w:hAnsi="宋体"/>
                <w:bCs/>
              </w:rPr>
              <w:t>投标人提交的投标文件中如有关于付款条件的表述与招标文件规定不符，投标无效。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ind w:right="102"/>
              <w:jc w:val="center"/>
              <w:rPr>
                <w:rFonts w:ascii="宋体"/>
                <w:sz w:val="24"/>
                <w:lang w:val="zh-CN"/>
              </w:rPr>
            </w:pPr>
            <w:r>
              <w:rPr>
                <w:rFonts w:ascii="宋体" w:hAnsi="宋体"/>
                <w:sz w:val="24"/>
                <w:lang w:val="zh-CN"/>
              </w:rPr>
              <w:t>8</w:t>
            </w:r>
          </w:p>
        </w:tc>
        <w:tc>
          <w:tcPr>
            <w:tcW w:w="1686" w:type="dxa"/>
            <w:vAlign w:val="center"/>
          </w:tcPr>
          <w:p>
            <w:pPr>
              <w:spacing w:line="500" w:lineRule="exact"/>
              <w:jc w:val="center"/>
              <w:rPr>
                <w:rFonts w:ascii="宋体"/>
                <w:sz w:val="24"/>
              </w:rPr>
            </w:pPr>
            <w:r>
              <w:rPr>
                <w:rFonts w:hint="eastAsia" w:ascii="宋体" w:hAnsi="宋体"/>
                <w:sz w:val="24"/>
              </w:rPr>
              <w:t>联合体投标</w:t>
            </w:r>
          </w:p>
        </w:tc>
        <w:tc>
          <w:tcPr>
            <w:tcW w:w="6379" w:type="dxa"/>
            <w:vAlign w:val="center"/>
          </w:tcPr>
          <w:p>
            <w:pPr>
              <w:spacing w:line="500" w:lineRule="exact"/>
              <w:rPr>
                <w:rFonts w:ascii="宋体"/>
                <w:sz w:val="24"/>
              </w:rPr>
            </w:pPr>
            <w:r>
              <w:rPr>
                <w:rFonts w:hint="eastAsia" w:ascii="宋体" w:hAnsi="宋体"/>
                <w:sz w:val="24"/>
              </w:rPr>
              <w:t>□</w:t>
            </w:r>
            <w:r>
              <w:rPr>
                <w:rFonts w:hint="eastAsia" w:ascii="宋体" w:hAnsi="宋体"/>
                <w:sz w:val="24"/>
                <w:lang w:val="zh-CN"/>
              </w:rPr>
              <w:t>允许</w:t>
            </w:r>
            <w:r>
              <w:rPr>
                <w:rFonts w:ascii="宋体" w:hAnsi="宋体"/>
                <w:sz w:val="24"/>
                <w:lang w:val="zh-CN"/>
              </w:rPr>
              <w:t xml:space="preserve">  </w:t>
            </w:r>
            <w:r>
              <w:rPr>
                <w:b/>
                <w:bCs/>
                <w:sz w:val="24"/>
              </w:rPr>
              <w:sym w:font="Wingdings" w:char="F0FE"/>
            </w:r>
            <w:r>
              <w:rPr>
                <w:rFonts w:hint="eastAsia" w:ascii="宋体" w:hAnsi="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ascii="宋体"/>
                <w:sz w:val="24"/>
              </w:rPr>
            </w:pPr>
            <w:r>
              <w:rPr>
                <w:rFonts w:ascii="宋体" w:hAnsi="宋体"/>
                <w:sz w:val="24"/>
              </w:rPr>
              <w:t>9</w:t>
            </w:r>
          </w:p>
        </w:tc>
        <w:tc>
          <w:tcPr>
            <w:tcW w:w="1686" w:type="dxa"/>
            <w:vAlign w:val="center"/>
          </w:tcPr>
          <w:p>
            <w:pPr>
              <w:spacing w:line="500" w:lineRule="exact"/>
              <w:jc w:val="center"/>
              <w:rPr>
                <w:rFonts w:ascii="宋体"/>
                <w:sz w:val="24"/>
              </w:rPr>
            </w:pPr>
            <w:r>
              <w:rPr>
                <w:rFonts w:hint="eastAsia" w:ascii="宋体" w:hAnsi="宋体"/>
                <w:sz w:val="24"/>
              </w:rPr>
              <w:t>投标有效期</w:t>
            </w:r>
          </w:p>
        </w:tc>
        <w:tc>
          <w:tcPr>
            <w:tcW w:w="6379" w:type="dxa"/>
            <w:vAlign w:val="center"/>
          </w:tcPr>
          <w:p>
            <w:pPr>
              <w:spacing w:line="500" w:lineRule="exact"/>
              <w:rPr>
                <w:rFonts w:ascii="宋体"/>
                <w:sz w:val="24"/>
              </w:rPr>
            </w:pPr>
            <w:r>
              <w:rPr>
                <w:rFonts w:ascii="宋体" w:hAnsi="宋体"/>
                <w:sz w:val="24"/>
              </w:rPr>
              <w:t>6</w:t>
            </w:r>
            <w:r>
              <w:rPr>
                <w:rFonts w:ascii="宋体"/>
                <w:sz w:val="24"/>
              </w:rPr>
              <w:t>0</w:t>
            </w:r>
            <w:r>
              <w:rPr>
                <w:rFonts w:hint="eastAsia" w:ascii="宋体" w:hAnsi="宋体"/>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66" w:type="dxa"/>
            <w:vAlign w:val="center"/>
          </w:tcPr>
          <w:p>
            <w:pPr>
              <w:spacing w:line="500" w:lineRule="exact"/>
              <w:jc w:val="center"/>
              <w:rPr>
                <w:rFonts w:ascii="宋体"/>
                <w:sz w:val="24"/>
              </w:rPr>
            </w:pPr>
            <w:r>
              <w:rPr>
                <w:rFonts w:ascii="宋体" w:hAnsi="宋体"/>
                <w:sz w:val="24"/>
              </w:rPr>
              <w:t>10</w:t>
            </w:r>
          </w:p>
        </w:tc>
        <w:tc>
          <w:tcPr>
            <w:tcW w:w="1686" w:type="dxa"/>
          </w:tcPr>
          <w:p>
            <w:pPr>
              <w:spacing w:line="500" w:lineRule="exact"/>
              <w:jc w:val="center"/>
              <w:rPr>
                <w:rFonts w:ascii="宋体"/>
                <w:sz w:val="24"/>
              </w:rPr>
            </w:pPr>
            <w:r>
              <w:rPr>
                <w:rFonts w:hint="eastAsia" w:ascii="宋体" w:hAnsi="宋体"/>
                <w:sz w:val="24"/>
              </w:rPr>
              <w:t>供货及安装（施工）地点</w:t>
            </w:r>
          </w:p>
        </w:tc>
        <w:tc>
          <w:tcPr>
            <w:tcW w:w="6379" w:type="dxa"/>
            <w:vAlign w:val="center"/>
          </w:tcPr>
          <w:p>
            <w:pPr>
              <w:spacing w:line="440" w:lineRule="exact"/>
              <w:rPr>
                <w:rFonts w:ascii="宋体"/>
                <w:sz w:val="24"/>
              </w:rPr>
            </w:pPr>
            <w:r>
              <w:rPr>
                <w:rFonts w:hint="eastAsia" w:ascii="宋体" w:hAnsi="宋体"/>
                <w:sz w:val="24"/>
              </w:rPr>
              <w:t>蚌埠市涂山东路1596号（兴业街555号宝龙城市广场2号楼）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66" w:type="dxa"/>
            <w:vAlign w:val="center"/>
          </w:tcPr>
          <w:p>
            <w:pPr>
              <w:spacing w:line="500" w:lineRule="exact"/>
              <w:jc w:val="center"/>
              <w:rPr>
                <w:rFonts w:ascii="宋体"/>
                <w:sz w:val="24"/>
              </w:rPr>
            </w:pPr>
            <w:r>
              <w:rPr>
                <w:rFonts w:ascii="宋体" w:hAnsi="宋体"/>
                <w:sz w:val="24"/>
              </w:rPr>
              <w:t>11</w:t>
            </w:r>
          </w:p>
        </w:tc>
        <w:tc>
          <w:tcPr>
            <w:tcW w:w="1686" w:type="dxa"/>
            <w:vAlign w:val="center"/>
          </w:tcPr>
          <w:p>
            <w:pPr>
              <w:spacing w:line="500" w:lineRule="exact"/>
              <w:jc w:val="center"/>
              <w:rPr>
                <w:rFonts w:ascii="宋体"/>
                <w:sz w:val="24"/>
              </w:rPr>
            </w:pPr>
            <w:r>
              <w:rPr>
                <w:rFonts w:hint="eastAsia" w:ascii="宋体" w:hAnsi="宋体"/>
                <w:sz w:val="24"/>
              </w:rPr>
              <w:t>完工期限</w:t>
            </w:r>
          </w:p>
        </w:tc>
        <w:tc>
          <w:tcPr>
            <w:tcW w:w="6379" w:type="dxa"/>
            <w:vAlign w:val="center"/>
          </w:tcPr>
          <w:p>
            <w:pPr>
              <w:spacing w:line="500" w:lineRule="exact"/>
              <w:rPr>
                <w:rFonts w:ascii="宋体"/>
                <w:sz w:val="24"/>
              </w:rPr>
            </w:pPr>
            <w:r>
              <w:rPr>
                <w:rFonts w:hint="eastAsia" w:ascii="宋体" w:hAnsi="宋体"/>
                <w:sz w:val="24"/>
              </w:rPr>
              <w:t>合同签订后</w:t>
            </w:r>
            <w:r>
              <w:rPr>
                <w:rFonts w:ascii="宋体" w:hAnsi="宋体"/>
                <w:sz w:val="24"/>
                <w:u w:val="single"/>
              </w:rPr>
              <w:t xml:space="preserve"> </w:t>
            </w:r>
            <w:r>
              <w:rPr>
                <w:rFonts w:hint="eastAsia" w:ascii="宋体" w:hAnsi="宋体"/>
                <w:sz w:val="24"/>
                <w:u w:val="single"/>
              </w:rPr>
              <w:t>6</w:t>
            </w:r>
            <w:r>
              <w:rPr>
                <w:rFonts w:ascii="宋体" w:hAnsi="宋体"/>
                <w:sz w:val="24"/>
                <w:u w:val="single"/>
              </w:rPr>
              <w:t>0</w:t>
            </w:r>
            <w:r>
              <w:rPr>
                <w:rFonts w:hint="eastAsia" w:ascii="宋体" w:hAnsi="宋体"/>
                <w:sz w:val="24"/>
                <w:u w:val="single"/>
              </w:rPr>
              <w:t>个日历天</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sz w:val="24"/>
              </w:rPr>
            </w:pPr>
            <w:r>
              <w:rPr>
                <w:rFonts w:ascii="宋体" w:hAnsi="宋体"/>
                <w:sz w:val="24"/>
              </w:rPr>
              <w:t>12</w:t>
            </w:r>
          </w:p>
        </w:tc>
        <w:tc>
          <w:tcPr>
            <w:tcW w:w="1686" w:type="dxa"/>
            <w:vAlign w:val="center"/>
          </w:tcPr>
          <w:p>
            <w:pPr>
              <w:spacing w:line="500" w:lineRule="exact"/>
              <w:jc w:val="center"/>
              <w:rPr>
                <w:rFonts w:ascii="宋体"/>
                <w:sz w:val="24"/>
                <w:lang w:val="zh-CN"/>
              </w:rPr>
            </w:pPr>
            <w:r>
              <w:rPr>
                <w:rFonts w:hint="eastAsia" w:ascii="宋体" w:hAnsi="宋体"/>
                <w:sz w:val="24"/>
              </w:rPr>
              <w:t>投标保证金金额</w:t>
            </w:r>
          </w:p>
        </w:tc>
        <w:tc>
          <w:tcPr>
            <w:tcW w:w="6379" w:type="dxa"/>
            <w:vAlign w:val="center"/>
          </w:tcPr>
          <w:p>
            <w:pPr>
              <w:spacing w:line="500" w:lineRule="exact"/>
              <w:rPr>
                <w:rFonts w:ascii="宋体"/>
                <w:sz w:val="24"/>
                <w:lang w:val="zh-CN"/>
              </w:rPr>
            </w:pPr>
            <w:r>
              <w:rPr>
                <w:rFonts w:hint="eastAsia" w:ascii="宋体" w:hAnsi="宋体"/>
                <w:sz w:val="24"/>
              </w:rPr>
              <w:t>人民币</w:t>
            </w:r>
            <w:r>
              <w:rPr>
                <w:rFonts w:hint="eastAsia" w:ascii="宋体" w:hAnsi="宋体"/>
                <w:b/>
                <w:sz w:val="24"/>
                <w:u w:val="single"/>
              </w:rPr>
              <w:t>伍仟元</w:t>
            </w:r>
            <w:r>
              <w:rPr>
                <w:rFonts w:hint="eastAsia" w:ascii="宋体" w:hAnsi="宋体"/>
                <w:sz w:val="24"/>
              </w:rPr>
              <w:t>，投标保证金应当在投标截止时间前足额到达本次招标公告指定账号，且应当从投标人基本账号转出。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sz w:val="24"/>
              </w:rPr>
            </w:pPr>
            <w:r>
              <w:rPr>
                <w:rFonts w:ascii="宋体" w:hAnsi="宋体"/>
                <w:sz w:val="24"/>
              </w:rPr>
              <w:t>13</w:t>
            </w:r>
          </w:p>
        </w:tc>
        <w:tc>
          <w:tcPr>
            <w:tcW w:w="1686" w:type="dxa"/>
            <w:vAlign w:val="center"/>
          </w:tcPr>
          <w:p>
            <w:pPr>
              <w:pStyle w:val="50"/>
              <w:pBdr>
                <w:bottom w:val="none" w:color="auto" w:sz="0" w:space="0"/>
              </w:pBdr>
              <w:tabs>
                <w:tab w:val="clear" w:pos="4153"/>
                <w:tab w:val="clear" w:pos="8306"/>
              </w:tabs>
              <w:adjustRightInd/>
              <w:spacing w:line="500" w:lineRule="exact"/>
              <w:textAlignment w:val="auto"/>
              <w:rPr>
                <w:rFonts w:ascii="宋体"/>
                <w:kern w:val="2"/>
              </w:rPr>
            </w:pPr>
            <w:r>
              <w:rPr>
                <w:rFonts w:hint="eastAsia" w:ascii="宋体" w:hAnsi="宋体"/>
                <w:kern w:val="2"/>
              </w:rPr>
              <w:t>投标保证金交纳账号</w:t>
            </w:r>
          </w:p>
        </w:tc>
        <w:tc>
          <w:tcPr>
            <w:tcW w:w="6379" w:type="dxa"/>
            <w:vAlign w:val="center"/>
          </w:tcPr>
          <w:p>
            <w:pPr>
              <w:spacing w:line="500" w:lineRule="exact"/>
              <w:rPr>
                <w:rFonts w:ascii="宋体"/>
                <w:sz w:val="24"/>
              </w:rPr>
            </w:pPr>
            <w:r>
              <w:rPr>
                <w:rFonts w:hint="eastAsia" w:ascii="宋体" w:hAnsi="宋体"/>
                <w:sz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sz w:val="24"/>
              </w:rPr>
            </w:pPr>
            <w:r>
              <w:rPr>
                <w:rFonts w:ascii="宋体" w:hAnsi="宋体"/>
                <w:sz w:val="24"/>
              </w:rPr>
              <w:t>14</w:t>
            </w:r>
          </w:p>
        </w:tc>
        <w:tc>
          <w:tcPr>
            <w:tcW w:w="1686" w:type="dxa"/>
            <w:vAlign w:val="center"/>
          </w:tcPr>
          <w:p>
            <w:pPr>
              <w:pStyle w:val="50"/>
              <w:pBdr>
                <w:bottom w:val="none" w:color="auto" w:sz="0" w:space="0"/>
              </w:pBdr>
              <w:tabs>
                <w:tab w:val="clear" w:pos="4153"/>
                <w:tab w:val="clear" w:pos="8306"/>
              </w:tabs>
              <w:adjustRightInd/>
              <w:spacing w:line="500" w:lineRule="exact"/>
              <w:textAlignment w:val="auto"/>
              <w:rPr>
                <w:rFonts w:ascii="宋体"/>
                <w:kern w:val="2"/>
              </w:rPr>
            </w:pPr>
            <w:r>
              <w:rPr>
                <w:rFonts w:hint="eastAsia" w:ascii="宋体" w:hAnsi="宋体"/>
                <w:lang w:val="zh-CN"/>
              </w:rPr>
              <w:t>免费质保期</w:t>
            </w:r>
          </w:p>
        </w:tc>
        <w:tc>
          <w:tcPr>
            <w:tcW w:w="6379" w:type="dxa"/>
            <w:vAlign w:val="center"/>
          </w:tcPr>
          <w:p>
            <w:pPr>
              <w:spacing w:line="500" w:lineRule="exact"/>
              <w:rPr>
                <w:rFonts w:ascii="宋体"/>
                <w:b/>
                <w:sz w:val="24"/>
              </w:rPr>
            </w:pPr>
            <w:r>
              <w:rPr>
                <w:rFonts w:hint="eastAsia" w:ascii="宋体" w:hAnsi="宋体"/>
                <w:sz w:val="24"/>
                <w:lang w:val="zh-CN"/>
              </w:rPr>
              <w:t>验收合格之日起</w:t>
            </w:r>
            <w:r>
              <w:rPr>
                <w:rFonts w:ascii="宋体" w:hAnsi="宋体"/>
                <w:sz w:val="24"/>
                <w:u w:val="single"/>
              </w:rPr>
              <w:t xml:space="preserve"> </w:t>
            </w:r>
            <w:r>
              <w:rPr>
                <w:rFonts w:hint="eastAsia" w:ascii="宋体" w:hAnsi="宋体"/>
                <w:sz w:val="24"/>
                <w:u w:val="single"/>
              </w:rPr>
              <w:t>贰年</w:t>
            </w:r>
            <w:r>
              <w:rPr>
                <w:rFonts w:ascii="宋体" w:hAnsi="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sz w:val="24"/>
              </w:rPr>
            </w:pPr>
            <w:r>
              <w:rPr>
                <w:rFonts w:ascii="宋体" w:hAnsi="宋体"/>
                <w:sz w:val="24"/>
              </w:rPr>
              <w:t>15</w:t>
            </w:r>
          </w:p>
        </w:tc>
        <w:tc>
          <w:tcPr>
            <w:tcW w:w="1686" w:type="dxa"/>
            <w:vAlign w:val="center"/>
          </w:tcPr>
          <w:p>
            <w:pPr>
              <w:spacing w:line="500" w:lineRule="exact"/>
              <w:jc w:val="center"/>
              <w:rPr>
                <w:rFonts w:ascii="宋体"/>
                <w:sz w:val="24"/>
              </w:rPr>
            </w:pPr>
            <w:r>
              <w:rPr>
                <w:rFonts w:hint="eastAsia" w:ascii="宋体" w:hAnsi="宋体"/>
                <w:bCs/>
                <w:sz w:val="24"/>
              </w:rPr>
              <w:t>答疑</w:t>
            </w:r>
          </w:p>
        </w:tc>
        <w:tc>
          <w:tcPr>
            <w:tcW w:w="6379" w:type="dxa"/>
            <w:vAlign w:val="center"/>
          </w:tcPr>
          <w:p>
            <w:pPr>
              <w:spacing w:line="500" w:lineRule="exact"/>
              <w:rPr>
                <w:rFonts w:ascii="宋体"/>
                <w:b/>
                <w:bCs/>
                <w:i/>
                <w:sz w:val="24"/>
              </w:rPr>
            </w:pPr>
            <w:r>
              <w:rPr>
                <w:rFonts w:hint="eastAsia" w:ascii="宋体" w:hAnsi="宋体"/>
                <w:b/>
                <w:bCs/>
                <w:sz w:val="24"/>
              </w:rPr>
              <w:t>招标公告发布之日起五个工作日内接受答疑（逾期不予受理），疑问的提出与答疑获取详见招标文件</w:t>
            </w:r>
            <w:r>
              <w:rPr>
                <w:rFonts w:hint="eastAsia" w:ascii="宋体" w:hAnsi="宋体"/>
                <w:b/>
                <w:sz w:val="24"/>
              </w:rPr>
              <w:t>第三章投标人须知第四条</w:t>
            </w:r>
            <w:r>
              <w:rPr>
                <w:rFonts w:hint="eastAsia" w:ascii="宋体" w:hAnsi="宋体"/>
                <w:b/>
                <w:bCs/>
                <w:sz w:val="24"/>
              </w:rPr>
              <w:t>。</w:t>
            </w:r>
          </w:p>
          <w:p>
            <w:pPr>
              <w:spacing w:line="500" w:lineRule="exact"/>
              <w:rPr>
                <w:rFonts w:ascii="宋体"/>
                <w:bCs/>
                <w:sz w:val="24"/>
              </w:rPr>
            </w:pPr>
            <w:r>
              <w:rPr>
                <w:rFonts w:hint="eastAsia" w:ascii="宋体" w:hAnsi="宋体"/>
                <w:b/>
                <w:sz w:val="24"/>
              </w:rPr>
              <w:t>投标人请注意：</w:t>
            </w:r>
            <w:r>
              <w:rPr>
                <w:rFonts w:hint="eastAsia" w:ascii="宋体" w:hAnsi="宋体"/>
                <w:bCs/>
                <w:sz w:val="24"/>
              </w:rPr>
              <w:t>我司对招标文件进行的澄清、更正或更改，将在网站上及时发布，该公告内容为招标文件的组成部分，对投标人具有同样约束力效力。投标人应主动上网查询。我司不承担投标人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sz w:val="24"/>
              </w:rPr>
            </w:pPr>
            <w:r>
              <w:rPr>
                <w:rFonts w:ascii="宋体" w:hAnsi="宋体"/>
                <w:sz w:val="24"/>
              </w:rPr>
              <w:t>16</w:t>
            </w:r>
          </w:p>
        </w:tc>
        <w:tc>
          <w:tcPr>
            <w:tcW w:w="1686" w:type="dxa"/>
            <w:vAlign w:val="center"/>
          </w:tcPr>
          <w:p>
            <w:pPr>
              <w:spacing w:line="500" w:lineRule="exact"/>
              <w:jc w:val="center"/>
              <w:rPr>
                <w:rFonts w:ascii="宋体"/>
                <w:bCs/>
                <w:sz w:val="24"/>
              </w:rPr>
            </w:pPr>
            <w:r>
              <w:rPr>
                <w:rFonts w:hint="eastAsia" w:ascii="宋体" w:hAnsi="宋体"/>
                <w:bCs/>
                <w:sz w:val="24"/>
              </w:rPr>
              <w:t>踏勘现场</w:t>
            </w:r>
          </w:p>
        </w:tc>
        <w:tc>
          <w:tcPr>
            <w:tcW w:w="6379" w:type="dxa"/>
            <w:vAlign w:val="center"/>
          </w:tcPr>
          <w:p>
            <w:pPr>
              <w:spacing w:line="500" w:lineRule="exact"/>
              <w:rPr>
                <w:rFonts w:ascii="宋体"/>
                <w:bCs/>
                <w:sz w:val="24"/>
              </w:rPr>
            </w:pPr>
            <w:r>
              <w:rPr>
                <w:b/>
                <w:bCs/>
                <w:sz w:val="24"/>
              </w:rPr>
              <w:sym w:font="Wingdings" w:char="F0FE"/>
            </w:r>
            <w:r>
              <w:rPr>
                <w:rFonts w:hint="eastAsia" w:ascii="宋体" w:hAnsi="宋体"/>
                <w:bCs/>
                <w:sz w:val="24"/>
              </w:rPr>
              <w:t>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66" w:type="dxa"/>
            <w:vAlign w:val="center"/>
          </w:tcPr>
          <w:p>
            <w:pPr>
              <w:spacing w:line="500" w:lineRule="exact"/>
              <w:jc w:val="center"/>
              <w:rPr>
                <w:rFonts w:ascii="宋体"/>
                <w:sz w:val="24"/>
              </w:rPr>
            </w:pPr>
            <w:r>
              <w:rPr>
                <w:rFonts w:ascii="宋体" w:hAnsi="宋体"/>
                <w:sz w:val="24"/>
              </w:rPr>
              <w:t>17</w:t>
            </w:r>
          </w:p>
        </w:tc>
        <w:tc>
          <w:tcPr>
            <w:tcW w:w="1686" w:type="dxa"/>
            <w:vAlign w:val="center"/>
          </w:tcPr>
          <w:p>
            <w:pPr>
              <w:spacing w:line="500" w:lineRule="exact"/>
              <w:jc w:val="center"/>
              <w:rPr>
                <w:rFonts w:ascii="宋体"/>
                <w:sz w:val="24"/>
              </w:rPr>
            </w:pPr>
            <w:r>
              <w:rPr>
                <w:rFonts w:hint="eastAsia" w:ascii="宋体" w:hAnsi="宋体"/>
                <w:sz w:val="24"/>
              </w:rPr>
              <w:t>投标文件份数及要求</w:t>
            </w:r>
          </w:p>
        </w:tc>
        <w:tc>
          <w:tcPr>
            <w:tcW w:w="6379" w:type="dxa"/>
            <w:vAlign w:val="center"/>
          </w:tcPr>
          <w:p>
            <w:pPr>
              <w:spacing w:line="500" w:lineRule="exact"/>
              <w:rPr>
                <w:rFonts w:ascii="宋体"/>
                <w:sz w:val="24"/>
              </w:rPr>
            </w:pPr>
            <w:r>
              <w:rPr>
                <w:rFonts w:hint="eastAsia" w:ascii="宋体" w:hAnsi="宋体"/>
                <w:bCs/>
                <w:sz w:val="24"/>
              </w:rPr>
              <w:t>详见招标文件第三章第二条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ascii="宋体"/>
                <w:sz w:val="24"/>
              </w:rPr>
            </w:pPr>
            <w:r>
              <w:rPr>
                <w:rFonts w:ascii="宋体" w:hAnsi="宋体"/>
                <w:sz w:val="24"/>
              </w:rPr>
              <w:t>18</w:t>
            </w:r>
          </w:p>
        </w:tc>
        <w:tc>
          <w:tcPr>
            <w:tcW w:w="1686" w:type="dxa"/>
            <w:vAlign w:val="center"/>
          </w:tcPr>
          <w:p>
            <w:pPr>
              <w:spacing w:line="500" w:lineRule="exact"/>
              <w:jc w:val="center"/>
              <w:rPr>
                <w:rFonts w:ascii="宋体"/>
                <w:bCs/>
                <w:sz w:val="24"/>
              </w:rPr>
            </w:pPr>
            <w:r>
              <w:rPr>
                <w:rFonts w:hint="eastAsia" w:ascii="宋体" w:hAnsi="宋体"/>
                <w:sz w:val="24"/>
              </w:rPr>
              <w:t>开标时间及地点</w:t>
            </w:r>
          </w:p>
        </w:tc>
        <w:tc>
          <w:tcPr>
            <w:tcW w:w="6379" w:type="dxa"/>
            <w:vAlign w:val="center"/>
          </w:tcPr>
          <w:p>
            <w:pPr>
              <w:spacing w:line="500" w:lineRule="exact"/>
              <w:rPr>
                <w:rFonts w:ascii="宋体"/>
                <w:bCs/>
                <w:sz w:val="24"/>
                <w:u w:val="single"/>
              </w:rPr>
            </w:pPr>
            <w:r>
              <w:rPr>
                <w:rFonts w:hint="eastAsia" w:ascii="宋体" w:hAnsi="宋体"/>
                <w:sz w:val="24"/>
              </w:rPr>
              <w:t>开标时间：</w:t>
            </w:r>
            <w:r>
              <w:rPr>
                <w:rFonts w:hint="eastAsia" w:ascii="宋体" w:hAnsi="宋体"/>
                <w:sz w:val="24"/>
                <w:lang w:val="zh-CN"/>
              </w:rPr>
              <w:t>详见招标公告</w:t>
            </w:r>
          </w:p>
          <w:p>
            <w:pPr>
              <w:spacing w:line="500" w:lineRule="exact"/>
              <w:rPr>
                <w:rFonts w:ascii="宋体"/>
                <w:sz w:val="24"/>
              </w:rPr>
            </w:pPr>
            <w:r>
              <w:rPr>
                <w:rFonts w:hint="eastAsia" w:ascii="宋体" w:hAnsi="宋体"/>
                <w:sz w:val="24"/>
              </w:rPr>
              <w:t>开标地点：</w:t>
            </w:r>
            <w:r>
              <w:rPr>
                <w:rFonts w:hint="eastAsia" w:ascii="宋体" w:hAnsi="宋体"/>
                <w:sz w:val="24"/>
                <w:lang w:val="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66" w:type="dxa"/>
            <w:vAlign w:val="center"/>
          </w:tcPr>
          <w:p>
            <w:pPr>
              <w:spacing w:line="500" w:lineRule="exact"/>
              <w:jc w:val="center"/>
              <w:rPr>
                <w:rFonts w:ascii="宋体"/>
                <w:sz w:val="24"/>
              </w:rPr>
            </w:pPr>
            <w:r>
              <w:rPr>
                <w:rFonts w:ascii="宋体" w:hAnsi="宋体"/>
                <w:sz w:val="24"/>
              </w:rPr>
              <w:t>19</w:t>
            </w:r>
          </w:p>
        </w:tc>
        <w:tc>
          <w:tcPr>
            <w:tcW w:w="1686" w:type="dxa"/>
            <w:vAlign w:val="center"/>
          </w:tcPr>
          <w:p>
            <w:pPr>
              <w:spacing w:line="500" w:lineRule="exact"/>
              <w:jc w:val="center"/>
              <w:rPr>
                <w:rFonts w:ascii="宋体"/>
                <w:sz w:val="24"/>
              </w:rPr>
            </w:pPr>
            <w:r>
              <w:rPr>
                <w:rFonts w:hint="eastAsia" w:ascii="宋体" w:hAnsi="宋体"/>
                <w:sz w:val="24"/>
              </w:rPr>
              <w:t>评标办法</w:t>
            </w:r>
          </w:p>
        </w:tc>
        <w:tc>
          <w:tcPr>
            <w:tcW w:w="6379" w:type="dxa"/>
            <w:vAlign w:val="center"/>
          </w:tcPr>
          <w:p>
            <w:pPr>
              <w:spacing w:line="500" w:lineRule="exact"/>
              <w:rPr>
                <w:rFonts w:ascii="宋体"/>
                <w:sz w:val="24"/>
              </w:rPr>
            </w:pPr>
            <w:r>
              <w:rPr>
                <w:rFonts w:hint="eastAsia" w:ascii="宋体" w:hAnsi="宋体"/>
                <w:b/>
                <w:bCs/>
                <w:sz w:val="24"/>
              </w:rPr>
              <w:t>最低有效价中标</w:t>
            </w:r>
            <w:r>
              <w:rPr>
                <w:rFonts w:hint="eastAsia" w:ascii="宋体" w:hAnsi="宋体"/>
                <w:sz w:val="24"/>
              </w:rPr>
              <w:t>，</w:t>
            </w:r>
            <w:r>
              <w:rPr>
                <w:rFonts w:hint="eastAsia" w:ascii="宋体" w:hAnsi="宋体"/>
                <w:bCs/>
                <w:sz w:val="24"/>
              </w:rPr>
              <w:t>详见</w:t>
            </w:r>
            <w:r>
              <w:rPr>
                <w:rFonts w:hint="eastAsia" w:ascii="宋体" w:hAnsi="宋体"/>
                <w:sz w:val="24"/>
              </w:rPr>
              <w:t>招标文件</w:t>
            </w:r>
            <w:r>
              <w:rPr>
                <w:rFonts w:hint="eastAsia" w:ascii="宋体" w:hAnsi="宋体"/>
                <w:bCs/>
                <w:sz w:val="24"/>
              </w:rPr>
              <w:t>第六章评标办法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66" w:type="dxa"/>
            <w:vAlign w:val="center"/>
          </w:tcPr>
          <w:p>
            <w:pPr>
              <w:spacing w:line="500" w:lineRule="exact"/>
              <w:jc w:val="center"/>
              <w:rPr>
                <w:rFonts w:ascii="宋体"/>
                <w:sz w:val="24"/>
              </w:rPr>
            </w:pPr>
            <w:r>
              <w:rPr>
                <w:rFonts w:ascii="宋体" w:hAnsi="宋体"/>
                <w:sz w:val="24"/>
              </w:rPr>
              <w:t>20</w:t>
            </w:r>
          </w:p>
        </w:tc>
        <w:tc>
          <w:tcPr>
            <w:tcW w:w="1686" w:type="dxa"/>
            <w:vAlign w:val="center"/>
          </w:tcPr>
          <w:p>
            <w:pPr>
              <w:spacing w:line="500" w:lineRule="exact"/>
              <w:jc w:val="center"/>
              <w:rPr>
                <w:rFonts w:ascii="宋体"/>
                <w:bCs/>
                <w:sz w:val="24"/>
              </w:rPr>
            </w:pPr>
            <w:r>
              <w:rPr>
                <w:rFonts w:hint="eastAsia" w:ascii="宋体" w:hAnsi="宋体"/>
                <w:bCs/>
                <w:sz w:val="24"/>
              </w:rPr>
              <w:t>履约保证金</w:t>
            </w:r>
          </w:p>
        </w:tc>
        <w:tc>
          <w:tcPr>
            <w:tcW w:w="6379" w:type="dxa"/>
            <w:vAlign w:val="center"/>
          </w:tcPr>
          <w:p>
            <w:pPr>
              <w:spacing w:line="500" w:lineRule="exact"/>
              <w:rPr>
                <w:rFonts w:ascii="宋体"/>
                <w:sz w:val="24"/>
              </w:rPr>
            </w:pPr>
            <w:r>
              <w:rPr>
                <w:rFonts w:hint="eastAsia" w:ascii="宋体" w:hAnsi="宋体"/>
                <w:sz w:val="24"/>
              </w:rPr>
              <w:t>中标价的</w:t>
            </w:r>
            <w:r>
              <w:rPr>
                <w:rFonts w:ascii="宋体" w:hAnsi="宋体"/>
                <w:sz w:val="24"/>
                <w:u w:val="single"/>
              </w:rPr>
              <w:t xml:space="preserve"> 5 </w:t>
            </w:r>
            <w:r>
              <w:rPr>
                <w:rFonts w:ascii="宋体" w:hAnsi="宋体"/>
                <w:sz w:val="24"/>
              </w:rPr>
              <w:t>%</w:t>
            </w:r>
            <w:r>
              <w:rPr>
                <w:rFonts w:hint="eastAsia" w:ascii="宋体" w:hAnsi="宋体"/>
                <w:sz w:val="24"/>
              </w:rPr>
              <w:t>，期限至</w:t>
            </w:r>
            <w:r>
              <w:rPr>
                <w:rFonts w:ascii="宋体" w:hAnsi="宋体"/>
                <w:sz w:val="24"/>
                <w:u w:val="single"/>
              </w:rPr>
              <w:t xml:space="preserve"> </w:t>
            </w:r>
            <w:r>
              <w:rPr>
                <w:rFonts w:hint="eastAsia" w:ascii="宋体" w:hAnsi="宋体"/>
                <w:sz w:val="24"/>
                <w:u w:val="single"/>
              </w:rPr>
              <w:t>工程验收合格后</w:t>
            </w:r>
            <w:r>
              <w:rPr>
                <w:rFonts w:ascii="宋体" w:hAnsi="宋体"/>
                <w:sz w:val="24"/>
                <w:u w:val="single"/>
              </w:rPr>
              <w:t>7</w:t>
            </w:r>
            <w:r>
              <w:rPr>
                <w:rFonts w:hint="eastAsia" w:ascii="宋体" w:hAnsi="宋体"/>
                <w:sz w:val="24"/>
                <w:u w:val="single"/>
              </w:rPr>
              <w:t>个日历天</w:t>
            </w:r>
            <w:r>
              <w:rPr>
                <w:rFonts w:hint="eastAsia" w:ascii="宋体" w:hAnsi="宋体"/>
                <w:sz w:val="24"/>
              </w:rPr>
              <w:t>。收受方式为：</w:t>
            </w:r>
            <w:r>
              <w:rPr>
                <w:rFonts w:hint="eastAsia" w:ascii="宋体" w:hAnsi="宋体"/>
                <w:sz w:val="24"/>
                <w:u w:val="single"/>
              </w:rPr>
              <w:t>□现金、</w:t>
            </w:r>
            <w:r>
              <w:rPr>
                <w:b/>
                <w:bCs/>
                <w:sz w:val="24"/>
                <w:u w:val="single"/>
              </w:rPr>
              <w:sym w:font="Wingdings" w:char="F0FE"/>
            </w:r>
            <w:r>
              <w:rPr>
                <w:rFonts w:hint="eastAsia" w:ascii="宋体" w:hAnsi="宋体"/>
                <w:sz w:val="24"/>
                <w:u w:val="single"/>
              </w:rPr>
              <w:t>转账</w:t>
            </w:r>
            <w:r>
              <w:rPr>
                <w:rFonts w:ascii="宋体" w:hAnsi="宋体"/>
                <w:sz w:val="24"/>
                <w:u w:val="single"/>
              </w:rPr>
              <w:t>/</w:t>
            </w:r>
            <w:r>
              <w:rPr>
                <w:rFonts w:hint="eastAsia" w:ascii="宋体" w:hAnsi="宋体"/>
                <w:sz w:val="24"/>
                <w:u w:val="single"/>
              </w:rPr>
              <w:t>电汇</w:t>
            </w:r>
            <w:r>
              <w:rPr>
                <w:rFonts w:hint="eastAsia" w:ascii="宋体" w:hAnsi="宋体"/>
                <w:sz w:val="24"/>
              </w:rPr>
              <w:t>，收受人为</w:t>
            </w:r>
            <w:r>
              <w:rPr>
                <w:rFonts w:hint="eastAsia" w:ascii="宋体" w:hAnsi="宋体"/>
                <w:b/>
                <w:sz w:val="24"/>
                <w:u w:val="single"/>
              </w:rPr>
              <w:t>合肥百货大楼集团蚌埠百大购物中心有限责任公司宝龙店</w:t>
            </w:r>
            <w:r>
              <w:rPr>
                <w:rFonts w:hint="eastAsia" w:ascii="宋体" w:hAnsi="宋体"/>
                <w:sz w:val="24"/>
                <w:u w:val="single"/>
              </w:rPr>
              <w:t>财务部</w:t>
            </w:r>
            <w:r>
              <w:rPr>
                <w:rFonts w:hint="eastAsia" w:ascii="宋体" w:hAnsi="宋体"/>
                <w:sz w:val="24"/>
              </w:rPr>
              <w:t>，详见招标文件第三章投标人须知第六条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sz w:val="24"/>
              </w:rPr>
            </w:pPr>
            <w:r>
              <w:rPr>
                <w:rFonts w:ascii="宋体" w:hAnsi="宋体"/>
                <w:sz w:val="24"/>
              </w:rPr>
              <w:t>21</w:t>
            </w:r>
          </w:p>
        </w:tc>
        <w:tc>
          <w:tcPr>
            <w:tcW w:w="1686" w:type="dxa"/>
            <w:vAlign w:val="center"/>
          </w:tcPr>
          <w:p>
            <w:pPr>
              <w:spacing w:line="500" w:lineRule="exact"/>
              <w:jc w:val="center"/>
              <w:rPr>
                <w:rFonts w:ascii="宋体"/>
                <w:sz w:val="24"/>
              </w:rPr>
            </w:pPr>
            <w:r>
              <w:rPr>
                <w:rFonts w:hint="eastAsia" w:ascii="宋体" w:hAnsi="宋体"/>
                <w:sz w:val="24"/>
              </w:rPr>
              <w:t>投标样品</w:t>
            </w:r>
          </w:p>
        </w:tc>
        <w:tc>
          <w:tcPr>
            <w:tcW w:w="6379" w:type="dxa"/>
            <w:vAlign w:val="center"/>
          </w:tcPr>
          <w:p>
            <w:pPr>
              <w:spacing w:line="500" w:lineRule="exact"/>
              <w:rPr>
                <w:rFonts w:ascii="宋体"/>
                <w:sz w:val="24"/>
              </w:rPr>
            </w:pPr>
            <w:r>
              <w:rPr>
                <w:rFonts w:hint="eastAsia" w:ascii="宋体" w:hAnsi="宋体"/>
                <w:b/>
                <w:sz w:val="24"/>
              </w:rPr>
              <w:t>□</w:t>
            </w:r>
            <w:r>
              <w:rPr>
                <w:rFonts w:hint="eastAsia" w:ascii="宋体" w:hAnsi="宋体"/>
                <w:sz w:val="24"/>
              </w:rPr>
              <w:t>需要</w:t>
            </w:r>
            <w:r>
              <w:rPr>
                <w:rFonts w:ascii="宋体" w:hAnsi="宋体"/>
                <w:sz w:val="24"/>
              </w:rPr>
              <w:t xml:space="preserve">  </w:t>
            </w:r>
            <w:r>
              <w:rPr>
                <w:b/>
                <w:bCs/>
                <w:sz w:val="24"/>
              </w:rPr>
              <w:sym w:font="Wingdings" w:char="F0FE"/>
            </w:r>
            <w:r>
              <w:rPr>
                <w:rFonts w:hint="eastAsia" w:ascii="宋体" w:hAnsi="宋体"/>
                <w:sz w:val="24"/>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sz w:val="24"/>
              </w:rPr>
            </w:pPr>
            <w:r>
              <w:rPr>
                <w:rFonts w:ascii="宋体" w:hAnsi="宋体"/>
                <w:sz w:val="24"/>
              </w:rPr>
              <w:t>22</w:t>
            </w:r>
          </w:p>
        </w:tc>
        <w:tc>
          <w:tcPr>
            <w:tcW w:w="1686" w:type="dxa"/>
            <w:vAlign w:val="center"/>
          </w:tcPr>
          <w:p>
            <w:pPr>
              <w:spacing w:line="500" w:lineRule="exact"/>
              <w:jc w:val="center"/>
              <w:rPr>
                <w:rFonts w:ascii="宋体"/>
                <w:sz w:val="24"/>
              </w:rPr>
            </w:pPr>
            <w:r>
              <w:rPr>
                <w:rFonts w:hint="eastAsia" w:ascii="宋体" w:hAnsi="宋体"/>
                <w:sz w:val="24"/>
              </w:rPr>
              <w:t>本项目提供除电子版招标文件以外的其他资料</w:t>
            </w:r>
          </w:p>
        </w:tc>
        <w:tc>
          <w:tcPr>
            <w:tcW w:w="6379" w:type="dxa"/>
            <w:vAlign w:val="center"/>
          </w:tcPr>
          <w:p>
            <w:pPr>
              <w:spacing w:line="500" w:lineRule="exact"/>
              <w:rPr>
                <w:rFonts w:ascii="宋体" w:hAnsi="宋体"/>
                <w:b/>
                <w:sz w:val="24"/>
                <w:u w:val="single"/>
              </w:rPr>
            </w:pPr>
            <w:r>
              <w:rPr>
                <w:b/>
                <w:bCs/>
                <w:sz w:val="24"/>
              </w:rPr>
              <w:sym w:font="Wingdings" w:char="F0FE"/>
            </w:r>
            <w:r>
              <w:rPr>
                <w:rFonts w:hint="eastAsia" w:ascii="宋体" w:hAnsi="宋体"/>
                <w:b/>
                <w:sz w:val="24"/>
                <w:u w:val="single"/>
              </w:rPr>
              <w:t>设计图纸</w:t>
            </w:r>
            <w:r>
              <w:rPr>
                <w:rFonts w:hint="eastAsia" w:ascii="宋体" w:hAnsi="宋体"/>
                <w:b/>
                <w:sz w:val="24"/>
              </w:rPr>
              <w:t xml:space="preserve"> </w:t>
            </w:r>
            <w:r>
              <w:rPr>
                <w:rFonts w:ascii="宋体" w:hAnsi="宋体"/>
                <w:b/>
                <w:sz w:val="24"/>
              </w:rPr>
              <w:t xml:space="preserve"> </w:t>
            </w:r>
          </w:p>
          <w:p>
            <w:pPr>
              <w:spacing w:line="500" w:lineRule="exact"/>
              <w:rPr>
                <w:rFonts w:ascii="宋体"/>
                <w:b/>
                <w:sz w:val="24"/>
              </w:rPr>
            </w:pPr>
            <w:r>
              <w:rPr>
                <w:rFonts w:hint="eastAsia" w:ascii="宋体" w:hAnsi="宋体"/>
                <w:b/>
                <w:sz w:val="24"/>
              </w:rPr>
              <w:t>获得方式：上述资料如有请投标人在获取招标文件后，自行登录我公司网站下载本项目附件（该附件为招标文件的组成部分）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sz w:val="24"/>
              </w:rPr>
            </w:pPr>
            <w:r>
              <w:rPr>
                <w:rFonts w:ascii="宋体" w:hAnsi="宋体"/>
                <w:sz w:val="24"/>
              </w:rPr>
              <w:t>23</w:t>
            </w:r>
          </w:p>
        </w:tc>
        <w:tc>
          <w:tcPr>
            <w:tcW w:w="1686" w:type="dxa"/>
            <w:vAlign w:val="center"/>
          </w:tcPr>
          <w:p>
            <w:pPr>
              <w:spacing w:line="500" w:lineRule="exact"/>
              <w:jc w:val="center"/>
              <w:rPr>
                <w:rFonts w:ascii="宋体"/>
                <w:sz w:val="24"/>
              </w:rPr>
            </w:pPr>
            <w:r>
              <w:rPr>
                <w:rFonts w:hint="eastAsia" w:ascii="宋体" w:hAnsi="宋体"/>
                <w:sz w:val="24"/>
              </w:rPr>
              <w:t>业绩要求</w:t>
            </w:r>
          </w:p>
        </w:tc>
        <w:tc>
          <w:tcPr>
            <w:tcW w:w="6379" w:type="dxa"/>
            <w:vAlign w:val="center"/>
          </w:tcPr>
          <w:p>
            <w:pPr>
              <w:spacing w:line="500" w:lineRule="exact"/>
              <w:rPr>
                <w:rFonts w:ascii="宋体"/>
                <w:b/>
                <w:bCs/>
                <w:sz w:val="24"/>
              </w:rPr>
            </w:pPr>
            <w:r>
              <w:rPr>
                <w:rFonts w:ascii="宋体" w:hAnsi="宋体"/>
                <w:b/>
                <w:bCs/>
                <w:sz w:val="24"/>
              </w:rPr>
              <w:t>1</w:t>
            </w:r>
            <w:r>
              <w:rPr>
                <w:rFonts w:hint="eastAsia" w:ascii="宋体" w:hAnsi="宋体"/>
                <w:b/>
                <w:bCs/>
                <w:sz w:val="24"/>
              </w:rPr>
              <w:t>、本招标文件中要求的业绩须为已完工并验收合格的业绩：投标文件中除提供该业绩的合同扫描件外，还须附与该业绩对应的项目已完工并验收合格的业主证明材料（扫描件），如验收报告或业主开具的证明等。</w:t>
            </w:r>
          </w:p>
          <w:p>
            <w:pPr>
              <w:spacing w:line="500" w:lineRule="exact"/>
              <w:rPr>
                <w:rFonts w:ascii="宋体"/>
                <w:sz w:val="24"/>
              </w:rPr>
            </w:pPr>
            <w:r>
              <w:rPr>
                <w:rFonts w:hint="eastAsia" w:ascii="宋体" w:hAnsi="宋体"/>
                <w:b/>
                <w:bCs/>
                <w:sz w:val="24"/>
              </w:rPr>
              <w:t>注：（</w:t>
            </w:r>
            <w:r>
              <w:rPr>
                <w:rFonts w:ascii="宋体" w:hAnsi="宋体"/>
                <w:b/>
                <w:bCs/>
                <w:sz w:val="24"/>
              </w:rPr>
              <w:t>1</w:t>
            </w:r>
            <w:r>
              <w:rPr>
                <w:rFonts w:hint="eastAsia" w:ascii="宋体" w:hAnsi="宋体"/>
                <w:b/>
                <w:bCs/>
                <w:sz w:val="24"/>
              </w:rPr>
              <w:t>）验收报告或业主证明须加盖业主单位公章</w:t>
            </w:r>
            <w:r>
              <w:rPr>
                <w:rFonts w:ascii="宋体" w:hAnsi="宋体"/>
                <w:b/>
                <w:bCs/>
                <w:sz w:val="24"/>
              </w:rPr>
              <w:t>(</w:t>
            </w:r>
            <w:r>
              <w:rPr>
                <w:rFonts w:hint="eastAsia" w:ascii="宋体" w:hAnsi="宋体"/>
                <w:b/>
                <w:bCs/>
                <w:sz w:val="24"/>
              </w:rPr>
              <w:t>所提供的证明材料上已有业主单位公章的除外</w:t>
            </w:r>
            <w:r>
              <w:rPr>
                <w:rFonts w:ascii="宋体" w:hAnsi="宋体"/>
                <w:b/>
                <w:bCs/>
                <w:sz w:val="24"/>
              </w:rPr>
              <w:t>)</w:t>
            </w:r>
            <w:r>
              <w:rPr>
                <w:rFonts w:hint="eastAsia" w:ascii="宋体" w:hAnsi="宋体"/>
                <w:b/>
                <w:bCs/>
                <w:sz w:val="24"/>
              </w:rPr>
              <w:t>，否则评标委员会可不予认可；（</w:t>
            </w:r>
            <w:r>
              <w:rPr>
                <w:rFonts w:ascii="宋体" w:hAnsi="宋体"/>
                <w:b/>
                <w:bCs/>
                <w:sz w:val="24"/>
              </w:rPr>
              <w:t>2</w:t>
            </w:r>
            <w:r>
              <w:rPr>
                <w:rFonts w:hint="eastAsia" w:ascii="宋体" w:hAnsi="宋体"/>
                <w:b/>
                <w:bCs/>
                <w:sz w:val="24"/>
              </w:rPr>
              <w:t>）业绩合同可提供包含甲乙方、项目名称、合同总金额、合同签订时间、合同供货范围、合同签字盖章页等关键内容的关键页的扫描件；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66" w:type="dxa"/>
            <w:vAlign w:val="center"/>
          </w:tcPr>
          <w:p>
            <w:pPr>
              <w:spacing w:line="500" w:lineRule="exact"/>
              <w:jc w:val="center"/>
              <w:rPr>
                <w:rFonts w:ascii="宋体"/>
                <w:sz w:val="24"/>
              </w:rPr>
            </w:pPr>
            <w:r>
              <w:rPr>
                <w:rFonts w:ascii="宋体" w:hAnsi="宋体"/>
                <w:sz w:val="24"/>
              </w:rPr>
              <w:t>24</w:t>
            </w:r>
          </w:p>
        </w:tc>
        <w:tc>
          <w:tcPr>
            <w:tcW w:w="1686" w:type="dxa"/>
            <w:vAlign w:val="center"/>
          </w:tcPr>
          <w:p>
            <w:pPr>
              <w:spacing w:line="500" w:lineRule="exact"/>
              <w:jc w:val="center"/>
              <w:rPr>
                <w:rFonts w:ascii="宋体"/>
                <w:sz w:val="24"/>
              </w:rPr>
            </w:pPr>
            <w:r>
              <w:rPr>
                <w:rFonts w:hint="eastAsia" w:ascii="宋体" w:hAnsi="宋体"/>
                <w:sz w:val="24"/>
              </w:rPr>
              <w:t>其他</w:t>
            </w:r>
          </w:p>
        </w:tc>
        <w:tc>
          <w:tcPr>
            <w:tcW w:w="6379" w:type="dxa"/>
            <w:vAlign w:val="center"/>
          </w:tcPr>
          <w:p>
            <w:pPr>
              <w:spacing w:line="500" w:lineRule="exact"/>
              <w:rPr>
                <w:rFonts w:ascii="宋体"/>
                <w:b/>
                <w:sz w:val="24"/>
              </w:rPr>
            </w:pPr>
            <w:r>
              <w:rPr>
                <w:rFonts w:hint="eastAsia" w:ascii="宋体" w:hAnsi="宋体"/>
                <w:b/>
                <w:sz w:val="24"/>
              </w:rPr>
              <w:t>1、凡中标的外地建筑安装企业，应按照国家税务总局</w:t>
            </w:r>
            <w:r>
              <w:rPr>
                <w:rFonts w:ascii="宋体" w:hAnsi="宋体"/>
                <w:b/>
                <w:sz w:val="24"/>
              </w:rPr>
              <w:t>2016</w:t>
            </w:r>
            <w:r>
              <w:rPr>
                <w:rFonts w:hint="eastAsia" w:ascii="宋体" w:hAnsi="宋体"/>
                <w:b/>
                <w:sz w:val="24"/>
              </w:rPr>
              <w:t>年第</w:t>
            </w:r>
            <w:r>
              <w:rPr>
                <w:rFonts w:ascii="宋体" w:hAnsi="宋体"/>
                <w:b/>
                <w:sz w:val="24"/>
              </w:rPr>
              <w:t>17</w:t>
            </w:r>
            <w:r>
              <w:rPr>
                <w:rFonts w:hint="eastAsia" w:ascii="宋体" w:hAnsi="宋体"/>
                <w:b/>
                <w:sz w:val="24"/>
              </w:rPr>
              <w:t>号公告规定，在建筑服务发生地及时足额预缴增值税。</w:t>
            </w:r>
          </w:p>
          <w:p>
            <w:pPr>
              <w:spacing w:line="500" w:lineRule="exact"/>
              <w:rPr>
                <w:rFonts w:ascii="宋体"/>
                <w:b/>
                <w:sz w:val="24"/>
              </w:rPr>
            </w:pPr>
            <w:r>
              <w:rPr>
                <w:rFonts w:hint="eastAsia" w:ascii="宋体" w:hAnsi="宋体"/>
                <w:b/>
                <w:sz w:val="24"/>
              </w:rPr>
              <w:t>2、如有最新国家和地方标准、规范等，应按最新标准、规范执行，如多个规范对同一问题的标准和要求不一致时，应按较高标准和要求内容执行</w:t>
            </w:r>
            <w:r>
              <w:rPr>
                <w:rFonts w:ascii="宋体" w:hAnsi="宋体"/>
                <w:b/>
                <w:sz w:val="24"/>
              </w:rPr>
              <w:t xml:space="preserve"> </w:t>
            </w:r>
            <w:r>
              <w:rPr>
                <w:rFonts w:hint="eastAsia" w:ascii="宋体" w:hAnsi="宋体"/>
                <w:b/>
                <w:sz w:val="24"/>
              </w:rPr>
              <w:t>。</w:t>
            </w:r>
          </w:p>
        </w:tc>
      </w:tr>
    </w:tbl>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pStyle w:val="2"/>
        <w:numPr>
          <w:ilvl w:val="0"/>
          <w:numId w:val="0"/>
        </w:numPr>
      </w:pPr>
      <w:bookmarkStart w:id="5" w:name="_Toc13732418"/>
      <w:bookmarkStart w:id="6" w:name="_Toc491005866"/>
      <w:r>
        <w:rPr>
          <w:rFonts w:hint="eastAsia"/>
        </w:rPr>
        <w:t>第三章</w:t>
      </w:r>
      <w:r>
        <w:t xml:space="preserve"> </w:t>
      </w:r>
      <w:r>
        <w:rPr>
          <w:rFonts w:hint="eastAsia"/>
        </w:rPr>
        <w:t xml:space="preserve"> 投标人须知</w:t>
      </w:r>
      <w:bookmarkEnd w:id="5"/>
      <w:bookmarkEnd w:id="6"/>
    </w:p>
    <w:p>
      <w:pPr>
        <w:spacing w:line="440" w:lineRule="exact"/>
        <w:ind w:firstLine="420"/>
        <w:rPr>
          <w:rFonts w:ascii="宋体"/>
          <w:b/>
          <w:sz w:val="24"/>
        </w:rPr>
      </w:pPr>
      <w:r>
        <w:rPr>
          <w:rFonts w:hint="eastAsia" w:ascii="宋体" w:hAnsi="宋体"/>
          <w:b/>
          <w:sz w:val="24"/>
        </w:rPr>
        <w:t>一、说明及注意事项</w:t>
      </w:r>
    </w:p>
    <w:p>
      <w:pPr>
        <w:spacing w:line="44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440" w:lineRule="exact"/>
        <w:ind w:firstLine="420"/>
        <w:rPr>
          <w:rFonts w:ascii="宋体"/>
          <w:sz w:val="24"/>
        </w:rPr>
      </w:pPr>
      <w:r>
        <w:rPr>
          <w:rFonts w:hint="eastAsia" w:ascii="宋体" w:hAnsi="宋体"/>
          <w:sz w:val="24"/>
        </w:rPr>
        <w:t>⑴投标人须以招标人正式发布的《招标文件》为制作《投标文件》的依据；</w:t>
      </w:r>
    </w:p>
    <w:p>
      <w:pPr>
        <w:spacing w:line="44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440" w:lineRule="exact"/>
        <w:ind w:firstLine="420"/>
        <w:rPr>
          <w:rFonts w:ascii="宋体"/>
          <w:sz w:val="24"/>
        </w:rPr>
      </w:pPr>
      <w:r>
        <w:rPr>
          <w:rFonts w:hint="eastAsia" w:ascii="宋体" w:hAnsi="宋体"/>
          <w:sz w:val="24"/>
        </w:rPr>
        <w:t>⑶投标文件的书面内容不得涂抹或改写；</w:t>
      </w:r>
    </w:p>
    <w:p>
      <w:pPr>
        <w:spacing w:line="440" w:lineRule="exact"/>
        <w:ind w:firstLine="420"/>
        <w:rPr>
          <w:rFonts w:ascii="宋体"/>
          <w:sz w:val="24"/>
        </w:rPr>
      </w:pPr>
      <w:r>
        <w:rPr>
          <w:rFonts w:hint="eastAsia" w:ascii="宋体" w:hAnsi="宋体"/>
          <w:sz w:val="24"/>
        </w:rPr>
        <w:t>⑷满足本招标文件规定的其它要求。</w:t>
      </w:r>
    </w:p>
    <w:p>
      <w:pPr>
        <w:spacing w:line="44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440" w:lineRule="exact"/>
        <w:ind w:firstLine="420"/>
        <w:rPr>
          <w:rFonts w:ascii="宋体"/>
          <w:sz w:val="24"/>
        </w:rPr>
      </w:pPr>
      <w:r>
        <w:rPr>
          <w:rFonts w:hint="eastAsia" w:ascii="宋体" w:hAnsi="宋体"/>
          <w:sz w:val="24"/>
        </w:rPr>
        <w:t>⑴投标承诺书、开标一览表、工程量清单报价表、投标事项承诺等；</w:t>
      </w:r>
    </w:p>
    <w:p>
      <w:pPr>
        <w:spacing w:line="440" w:lineRule="exact"/>
        <w:ind w:firstLine="420"/>
        <w:rPr>
          <w:rFonts w:ascii="宋体"/>
          <w:sz w:val="24"/>
        </w:rPr>
      </w:pPr>
      <w:r>
        <w:rPr>
          <w:rFonts w:hint="eastAsia" w:ascii="宋体" w:hAnsi="宋体"/>
          <w:sz w:val="24"/>
        </w:rPr>
        <w:t>⑵投标人资质证明文件、法人和授权代表人身份证复印件；</w:t>
      </w:r>
    </w:p>
    <w:p>
      <w:pPr>
        <w:spacing w:line="440" w:lineRule="exact"/>
        <w:ind w:firstLine="420"/>
        <w:rPr>
          <w:rFonts w:ascii="宋体"/>
          <w:sz w:val="24"/>
        </w:rPr>
      </w:pPr>
      <w:r>
        <w:rPr>
          <w:rFonts w:hint="eastAsia" w:ascii="宋体" w:hAnsi="宋体"/>
          <w:sz w:val="24"/>
        </w:rPr>
        <w:t>⑶投标人同类项目合同、本项目服务工作计划、施工方案及投标人其它说明文件等；</w:t>
      </w:r>
    </w:p>
    <w:p>
      <w:pPr>
        <w:spacing w:line="440" w:lineRule="exact"/>
        <w:ind w:firstLine="420"/>
        <w:rPr>
          <w:rFonts w:ascii="宋体"/>
          <w:sz w:val="24"/>
        </w:rPr>
      </w:pPr>
      <w:r>
        <w:rPr>
          <w:rFonts w:hint="eastAsia" w:ascii="宋体" w:hAnsi="宋体"/>
          <w:sz w:val="24"/>
        </w:rPr>
        <w:t>⑷相关案例材料，项目负责人详细情况及拟派往本项目的管理人员情况（包括履历和项目经验）。</w:t>
      </w:r>
    </w:p>
    <w:p>
      <w:pPr>
        <w:spacing w:line="440" w:lineRule="exact"/>
        <w:ind w:firstLine="420"/>
        <w:rPr>
          <w:rFonts w:ascii="宋体"/>
          <w:sz w:val="24"/>
        </w:rPr>
      </w:pPr>
      <w:r>
        <w:rPr>
          <w:rFonts w:ascii="宋体" w:hAnsi="宋体"/>
          <w:sz w:val="24"/>
        </w:rPr>
        <w:t>3</w:t>
      </w:r>
      <w:r>
        <w:rPr>
          <w:rFonts w:hint="eastAsia" w:ascii="宋体" w:hAnsi="宋体"/>
          <w:sz w:val="24"/>
        </w:rPr>
        <w:t>.投标报价说明</w:t>
      </w:r>
    </w:p>
    <w:p>
      <w:pPr>
        <w:spacing w:line="440" w:lineRule="exact"/>
        <w:ind w:firstLine="420"/>
        <w:rPr>
          <w:rFonts w:ascii="宋体"/>
          <w:sz w:val="24"/>
        </w:rPr>
      </w:pPr>
      <w:r>
        <w:rPr>
          <w:rFonts w:hint="eastAsia" w:ascii="宋体" w:hAnsi="宋体"/>
          <w:sz w:val="24"/>
        </w:rPr>
        <w:t>⑴除招标文件中另有规定外，计量单位为我国法定计量单位；投标报价、服务费结算一律使用人民币；</w:t>
      </w:r>
    </w:p>
    <w:p>
      <w:pPr>
        <w:spacing w:line="360" w:lineRule="auto"/>
        <w:ind w:firstLine="424" w:firstLineChars="177"/>
        <w:rPr>
          <w:rFonts w:ascii="宋体"/>
          <w:sz w:val="24"/>
        </w:rPr>
      </w:pPr>
      <w:r>
        <w:rPr>
          <w:rFonts w:hint="eastAsia" w:ascii="宋体" w:hAnsi="宋体"/>
          <w:sz w:val="24"/>
        </w:rPr>
        <w:t>⑵本项目采用总价报价，中标价为合同价。</w:t>
      </w:r>
    </w:p>
    <w:p>
      <w:pPr>
        <w:spacing w:line="360" w:lineRule="auto"/>
        <w:ind w:firstLine="480" w:firstLineChars="200"/>
        <w:rPr>
          <w:rFonts w:ascii="宋体"/>
          <w:sz w:val="24"/>
        </w:rPr>
      </w:pPr>
      <w:r>
        <w:rPr>
          <w:rFonts w:hint="eastAsia" w:ascii="宋体" w:hAnsi="宋体"/>
          <w:sz w:val="24"/>
        </w:rPr>
        <w:t>此报价为完成本项目工作所有内容的所有费用，投标时须按项目说明列明的需求作为基础报出投标报价，此报价是指完成招标需求全部内容的综合价格。包括各项服务及服务中涉及到的材料消耗、人员、维保、验收、培训、利润、税金、规费、安全文明施工费、保险等全部费用。除此之外，招标人不再提供其他任何费用。</w:t>
      </w:r>
    </w:p>
    <w:p>
      <w:pPr>
        <w:spacing w:line="360" w:lineRule="auto"/>
        <w:ind w:firstLine="424" w:firstLineChars="177"/>
        <w:rPr>
          <w:rFonts w:ascii="宋体"/>
          <w:sz w:val="24"/>
        </w:rPr>
      </w:pPr>
      <w:r>
        <w:rPr>
          <w:rFonts w:hint="eastAsia" w:ascii="宋体" w:hAnsi="宋体"/>
          <w:sz w:val="24"/>
        </w:rPr>
        <w:t>⑶投标人投标前应进行现场勘查，各种风险须充分考虑，请投标人谨慎报价。</w:t>
      </w:r>
      <w:r>
        <w:rPr>
          <w:rFonts w:hint="eastAsia" w:ascii="宋体" w:hAnsi="宋体"/>
          <w:color w:val="000000"/>
          <w:sz w:val="24"/>
        </w:rPr>
        <w:t>中标后不得以任何理由提出变更等理由增加造价、调整价格。</w:t>
      </w:r>
    </w:p>
    <w:p>
      <w:pPr>
        <w:spacing w:line="440" w:lineRule="exact"/>
        <w:ind w:firstLine="420"/>
        <w:rPr>
          <w:rFonts w:ascii="宋体"/>
          <w:sz w:val="24"/>
        </w:rPr>
      </w:pPr>
      <w:r>
        <w:rPr>
          <w:rFonts w:hint="eastAsia" w:ascii="宋体" w:hAnsi="宋体"/>
          <w:sz w:val="24"/>
        </w:rPr>
        <w:t>⑷投标人须充分考虑所投服务成本，中标及合同履约期内，不得以任何理由要求对其投标价格进行变更或拒绝服务。</w:t>
      </w:r>
    </w:p>
    <w:p>
      <w:pPr>
        <w:spacing w:line="44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440" w:lineRule="exact"/>
        <w:ind w:firstLine="420"/>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.投标人在交付保证金后，如出现串标、毁标、中标后不签订合同或在履行合同时出现违约行为，招标人有权没收投标保证金并记入百大集团招投标黑名单；通过资审但放弃投标的请在开标前</w:t>
      </w:r>
      <w:r>
        <w:rPr>
          <w:rFonts w:ascii="宋体" w:hAnsi="宋体"/>
          <w:sz w:val="24"/>
        </w:rPr>
        <w:t>3</w:t>
      </w:r>
      <w:r>
        <w:rPr>
          <w:rFonts w:hint="eastAsia" w:ascii="宋体" w:hAnsi="宋体"/>
          <w:sz w:val="24"/>
        </w:rPr>
        <w:t>日以书面形式告知招标人，否则没收投标保证金。</w:t>
      </w:r>
    </w:p>
    <w:p>
      <w:pPr>
        <w:spacing w:line="44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440" w:lineRule="exact"/>
        <w:ind w:firstLine="420"/>
        <w:rPr>
          <w:rFonts w:ascii="宋体"/>
          <w:b/>
          <w:sz w:val="24"/>
        </w:rPr>
      </w:pPr>
      <w:r>
        <w:rPr>
          <w:rFonts w:hint="eastAsia" w:ascii="宋体" w:hAnsi="宋体"/>
          <w:b/>
          <w:sz w:val="24"/>
        </w:rPr>
        <w:t>二、投标文件的递交</w:t>
      </w:r>
    </w:p>
    <w:p>
      <w:pPr>
        <w:spacing w:line="44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44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440" w:lineRule="exact"/>
        <w:ind w:firstLine="420"/>
        <w:rPr>
          <w:rFonts w:ascii="宋体"/>
          <w:b/>
          <w:sz w:val="24"/>
        </w:rPr>
      </w:pPr>
      <w:r>
        <w:rPr>
          <w:rFonts w:hint="eastAsia" w:ascii="宋体" w:hAnsi="宋体"/>
          <w:b/>
          <w:bCs/>
          <w:sz w:val="24"/>
        </w:rPr>
        <w:t>⑵投标文件要求：胶装，</w:t>
      </w:r>
      <w:r>
        <w:rPr>
          <w:rFonts w:hint="eastAsia" w:ascii="宋体" w:hAnsi="宋体"/>
          <w:b/>
          <w:sz w:val="24"/>
        </w:rPr>
        <w:t>正、副本各一份，PDF电子版一份。</w:t>
      </w:r>
    </w:p>
    <w:p>
      <w:pPr>
        <w:spacing w:line="440" w:lineRule="exact"/>
        <w:ind w:firstLine="420"/>
        <w:rPr>
          <w:rFonts w:ascii="宋体" w:hAnsi="宋体"/>
          <w:sz w:val="24"/>
        </w:rPr>
      </w:pPr>
      <w:r>
        <w:rPr>
          <w:rFonts w:ascii="宋体" w:hAnsi="宋体"/>
          <w:sz w:val="24"/>
        </w:rPr>
        <w:t>2</w:t>
      </w:r>
      <w:r>
        <w:rPr>
          <w:rFonts w:hint="eastAsia" w:ascii="宋体" w:hAnsi="宋体"/>
          <w:sz w:val="24"/>
        </w:rPr>
        <w:t>．投标文件的递交</w:t>
      </w:r>
    </w:p>
    <w:p>
      <w:pPr>
        <w:spacing w:line="440" w:lineRule="exact"/>
        <w:ind w:firstLine="420"/>
        <w:rPr>
          <w:rFonts w:ascii="宋体"/>
          <w:sz w:val="24"/>
        </w:rPr>
      </w:pPr>
      <w:r>
        <w:rPr>
          <w:rFonts w:hint="eastAsia" w:ascii="宋体" w:hAnsi="宋体"/>
          <w:sz w:val="24"/>
        </w:rPr>
        <w:t>⑴投标人应在开标时间前将密封合格的投标文件送达开标现场；招标人对开标时间后送达的投标文件将不予签收。</w:t>
      </w:r>
    </w:p>
    <w:p>
      <w:pPr>
        <w:spacing w:line="440" w:lineRule="exact"/>
        <w:ind w:firstLine="420"/>
        <w:rPr>
          <w:rFonts w:ascii="宋体"/>
          <w:b/>
          <w:sz w:val="24"/>
        </w:rPr>
      </w:pPr>
      <w:r>
        <w:rPr>
          <w:rFonts w:hint="eastAsia" w:ascii="宋体" w:hAnsi="宋体"/>
          <w:b/>
          <w:sz w:val="24"/>
        </w:rPr>
        <w:t>三、开标、评标和定标</w:t>
      </w:r>
    </w:p>
    <w:p>
      <w:pPr>
        <w:spacing w:line="440" w:lineRule="exact"/>
        <w:ind w:firstLine="420"/>
        <w:rPr>
          <w:rFonts w:ascii="宋体" w:hAnsi="宋体"/>
          <w:sz w:val="24"/>
        </w:rPr>
      </w:pPr>
      <w:r>
        <w:rPr>
          <w:rFonts w:ascii="宋体" w:hAnsi="宋体"/>
          <w:sz w:val="24"/>
        </w:rPr>
        <w:t>1</w:t>
      </w:r>
      <w:r>
        <w:rPr>
          <w:rFonts w:hint="eastAsia" w:ascii="宋体" w:hAnsi="宋体"/>
          <w:sz w:val="24"/>
        </w:rPr>
        <w:t>.按投标邀请中规定的时间和地点开标，届时请投标人授权一名代表参加商务标的开标。</w:t>
      </w:r>
    </w:p>
    <w:p>
      <w:pPr>
        <w:spacing w:line="440" w:lineRule="exact"/>
        <w:ind w:firstLine="420"/>
        <w:rPr>
          <w:rFonts w:ascii="宋体" w:hAnsi="宋体"/>
          <w:sz w:val="24"/>
        </w:rPr>
      </w:pPr>
      <w:r>
        <w:rPr>
          <w:rFonts w:ascii="宋体" w:hAnsi="宋体"/>
          <w:sz w:val="24"/>
        </w:rPr>
        <w:t>2</w:t>
      </w:r>
      <w:r>
        <w:rPr>
          <w:rFonts w:hint="eastAsia" w:ascii="宋体" w:hAnsi="宋体"/>
          <w:sz w:val="24"/>
        </w:rPr>
        <w:t>.开标时，查验投标文件的密封状况，确认无误后拆封唱标。</w:t>
      </w:r>
    </w:p>
    <w:p>
      <w:pPr>
        <w:spacing w:line="440" w:lineRule="exact"/>
        <w:ind w:firstLine="420"/>
        <w:rPr>
          <w:rFonts w:ascii="宋体" w:hAnsi="宋体"/>
          <w:b/>
          <w:bCs/>
          <w:sz w:val="24"/>
        </w:rPr>
      </w:pPr>
      <w:r>
        <w:rPr>
          <w:rFonts w:ascii="宋体" w:hAnsi="宋体"/>
          <w:b/>
          <w:bCs/>
          <w:sz w:val="24"/>
        </w:rPr>
        <w:t>3</w:t>
      </w:r>
      <w:r>
        <w:rPr>
          <w:rFonts w:hint="eastAsia" w:ascii="宋体" w:hAnsi="宋体"/>
          <w:b/>
          <w:bCs/>
          <w:sz w:val="24"/>
        </w:rPr>
        <w:t>.本次评标采用有效最低价法，即资格审查、商务标、技术标均经评审通过的有效投标报价最低的投标人为预中标人。</w:t>
      </w:r>
    </w:p>
    <w:p>
      <w:pPr>
        <w:spacing w:line="440" w:lineRule="exact"/>
        <w:ind w:firstLine="420"/>
        <w:rPr>
          <w:rFonts w:ascii="宋体" w:hAnsi="宋体"/>
          <w:b/>
          <w:bCs/>
          <w:sz w:val="24"/>
        </w:rPr>
      </w:pPr>
      <w:r>
        <w:rPr>
          <w:rFonts w:ascii="宋体" w:hAnsi="宋体"/>
          <w:b/>
          <w:bCs/>
          <w:sz w:val="24"/>
        </w:rPr>
        <w:t>4</w:t>
      </w:r>
      <w:r>
        <w:rPr>
          <w:rFonts w:hint="eastAsia" w:ascii="宋体" w:hAnsi="宋体"/>
          <w:b/>
          <w:bCs/>
          <w:sz w:val="24"/>
        </w:rPr>
        <w:t>.招标人不承诺报价最低者可以中标，也不向落标的投标人退还投标文件。</w:t>
      </w:r>
    </w:p>
    <w:p>
      <w:pPr>
        <w:spacing w:line="440" w:lineRule="exact"/>
        <w:ind w:firstLine="420"/>
        <w:rPr>
          <w:rFonts w:ascii="宋体" w:hAnsi="宋体"/>
          <w:sz w:val="24"/>
        </w:rPr>
      </w:pPr>
      <w:r>
        <w:rPr>
          <w:rFonts w:hint="eastAsia" w:ascii="宋体" w:hAnsi="宋体"/>
          <w:sz w:val="24"/>
        </w:rPr>
        <w:t>5.废标：</w:t>
      </w:r>
    </w:p>
    <w:p>
      <w:pPr>
        <w:spacing w:line="440" w:lineRule="exact"/>
        <w:ind w:firstLine="420"/>
        <w:rPr>
          <w:rFonts w:ascii="宋体" w:hAnsi="宋体"/>
          <w:sz w:val="24"/>
        </w:rPr>
      </w:pPr>
      <w:r>
        <w:rPr>
          <w:rFonts w:hint="eastAsia" w:ascii="宋体" w:hAnsi="宋体"/>
          <w:sz w:val="24"/>
        </w:rPr>
        <w:t>有下列情况之一的投标文件为废标：</w:t>
      </w:r>
    </w:p>
    <w:p>
      <w:pPr>
        <w:spacing w:line="440" w:lineRule="exact"/>
        <w:ind w:firstLine="420"/>
        <w:rPr>
          <w:rFonts w:ascii="宋体" w:hAnsi="宋体"/>
          <w:sz w:val="24"/>
        </w:rPr>
      </w:pPr>
      <w:r>
        <w:rPr>
          <w:rFonts w:hint="eastAsia" w:ascii="宋体" w:hAnsi="宋体"/>
          <w:sz w:val="24"/>
        </w:rPr>
        <w:t>⑴未按本须知投标要求进行报价的；</w:t>
      </w:r>
    </w:p>
    <w:p>
      <w:pPr>
        <w:spacing w:line="440" w:lineRule="exact"/>
        <w:ind w:firstLine="420"/>
        <w:rPr>
          <w:rFonts w:ascii="宋体" w:hAnsi="宋体"/>
          <w:sz w:val="24"/>
        </w:rPr>
      </w:pPr>
      <w:r>
        <w:rPr>
          <w:rFonts w:hint="eastAsia" w:ascii="宋体" w:hAnsi="宋体"/>
          <w:sz w:val="24"/>
        </w:rPr>
        <w:t>⑵未加盖投标人公章的；</w:t>
      </w:r>
    </w:p>
    <w:p>
      <w:pPr>
        <w:spacing w:line="440" w:lineRule="exact"/>
        <w:ind w:firstLine="420"/>
        <w:rPr>
          <w:rFonts w:ascii="宋体" w:hAnsi="宋体"/>
          <w:sz w:val="24"/>
        </w:rPr>
      </w:pPr>
      <w:r>
        <w:rPr>
          <w:rFonts w:hint="eastAsia" w:ascii="宋体" w:hAnsi="宋体"/>
          <w:sz w:val="24"/>
        </w:rPr>
        <w:t>⑶投标文件无法定代表人或委托代理人签字、盖章的；</w:t>
      </w:r>
    </w:p>
    <w:p>
      <w:pPr>
        <w:spacing w:line="440" w:lineRule="exact"/>
        <w:ind w:firstLine="420"/>
        <w:rPr>
          <w:rFonts w:ascii="宋体" w:hAnsi="宋体"/>
          <w:sz w:val="24"/>
        </w:rPr>
      </w:pPr>
      <w:r>
        <w:rPr>
          <w:rFonts w:hint="eastAsia" w:ascii="宋体" w:hAnsi="宋体"/>
          <w:sz w:val="24"/>
        </w:rPr>
        <w:t>⑷投标报价超过项目概算的；</w:t>
      </w:r>
    </w:p>
    <w:p>
      <w:pPr>
        <w:spacing w:line="440" w:lineRule="exact"/>
        <w:ind w:firstLine="420"/>
        <w:rPr>
          <w:rFonts w:ascii="宋体" w:hAnsi="宋体"/>
          <w:sz w:val="24"/>
        </w:rPr>
      </w:pPr>
      <w:r>
        <w:rPr>
          <w:rFonts w:hint="eastAsia" w:ascii="宋体" w:hAnsi="宋体"/>
          <w:sz w:val="24"/>
        </w:rPr>
        <w:t>⑸投标文件字迹潦草、模糊致使无法辨认的；</w:t>
      </w:r>
    </w:p>
    <w:p>
      <w:pPr>
        <w:spacing w:line="440" w:lineRule="exact"/>
        <w:ind w:firstLine="420"/>
        <w:rPr>
          <w:rFonts w:ascii="宋体" w:hAnsi="宋体"/>
          <w:sz w:val="24"/>
        </w:rPr>
      </w:pPr>
      <w:r>
        <w:rPr>
          <w:rFonts w:hint="eastAsia" w:ascii="宋体" w:hAnsi="宋体"/>
          <w:sz w:val="24"/>
        </w:rPr>
        <w:t>⑹投标单位在一份投标文件中，报有两个或多个不同报价，且未书面声明以哪个报价为准的；</w:t>
      </w:r>
    </w:p>
    <w:p>
      <w:pPr>
        <w:spacing w:line="440" w:lineRule="exact"/>
        <w:ind w:firstLine="420"/>
        <w:rPr>
          <w:rFonts w:ascii="宋体" w:hAnsi="宋体"/>
          <w:sz w:val="24"/>
        </w:rPr>
      </w:pPr>
      <w:r>
        <w:rPr>
          <w:rFonts w:hint="eastAsia" w:ascii="宋体" w:hAnsi="宋体"/>
          <w:sz w:val="24"/>
        </w:rPr>
        <w:t>⑺投标文件存在缺项、漏项的；</w:t>
      </w:r>
    </w:p>
    <w:p>
      <w:pPr>
        <w:spacing w:line="440" w:lineRule="exact"/>
        <w:ind w:firstLine="420"/>
        <w:rPr>
          <w:rFonts w:ascii="宋体" w:hAnsi="宋体"/>
          <w:sz w:val="24"/>
        </w:rPr>
      </w:pPr>
      <w:r>
        <w:rPr>
          <w:rFonts w:hint="eastAsia" w:ascii="宋体" w:hAnsi="宋体"/>
          <w:sz w:val="24"/>
        </w:rPr>
        <w:t>⑻评委委员会评议认为构成废标的其他情况；</w:t>
      </w:r>
    </w:p>
    <w:p>
      <w:pPr>
        <w:spacing w:line="440" w:lineRule="exact"/>
        <w:ind w:firstLine="420"/>
        <w:rPr>
          <w:rFonts w:ascii="宋体" w:hAnsi="宋体"/>
          <w:sz w:val="24"/>
        </w:rPr>
      </w:pPr>
      <w:r>
        <w:rPr>
          <w:rFonts w:hint="eastAsia" w:ascii="宋体" w:hAnsi="宋体"/>
          <w:sz w:val="24"/>
        </w:rPr>
        <w:t>⑼项目负责人未参加现场答辩的；</w:t>
      </w:r>
    </w:p>
    <w:p>
      <w:pPr>
        <w:spacing w:line="440" w:lineRule="exact"/>
        <w:ind w:firstLine="420"/>
        <w:rPr>
          <w:rFonts w:ascii="宋体" w:hAnsi="宋体"/>
          <w:sz w:val="24"/>
        </w:rPr>
      </w:pPr>
      <w:r>
        <w:rPr>
          <w:rFonts w:hint="eastAsia" w:ascii="宋体" w:hAnsi="宋体"/>
          <w:sz w:val="24"/>
        </w:rPr>
        <w:t>⑽其他未实质性响应招标文件要求的。</w:t>
      </w:r>
    </w:p>
    <w:p>
      <w:pPr>
        <w:widowControl/>
        <w:spacing w:line="520" w:lineRule="exact"/>
        <w:ind w:firstLine="480" w:firstLineChars="200"/>
        <w:jc w:val="left"/>
        <w:rPr>
          <w:rFonts w:ascii="宋体"/>
          <w:b/>
          <w:bCs/>
          <w:sz w:val="24"/>
        </w:rPr>
      </w:pPr>
      <w:r>
        <w:rPr>
          <w:rFonts w:hint="eastAsia" w:ascii="宋体" w:hAnsi="宋体"/>
          <w:sz w:val="24"/>
        </w:rPr>
        <w:t>6．</w:t>
      </w:r>
      <w:r>
        <w:rPr>
          <w:rFonts w:hint="eastAsia" w:ascii="宋体" w:hAnsi="宋体" w:cs="宋体"/>
          <w:b/>
          <w:bCs/>
          <w:sz w:val="24"/>
        </w:rPr>
        <w:t>二次招标</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.1</w:t>
      </w:r>
      <w:r>
        <w:rPr>
          <w:rFonts w:hint="eastAsia" w:ascii="宋体" w:hAnsi="宋体" w:cs="宋体"/>
          <w:sz w:val="24"/>
        </w:rPr>
        <w:t>如项目流标，招标人根据情况可能发布二次公告，进行二次招标。</w:t>
      </w:r>
      <w:r>
        <w:rPr>
          <w:rFonts w:hint="eastAsia" w:ascii="宋体" w:hAnsi="宋体" w:cs="宋体"/>
          <w:kern w:val="0"/>
          <w:sz w:val="24"/>
        </w:rPr>
        <w:t>二次招标如</w:t>
      </w:r>
      <w:r>
        <w:rPr>
          <w:rFonts w:hint="eastAsia" w:ascii="宋体" w:hAnsi="宋体" w:cs="宋体"/>
          <w:sz w:val="24"/>
        </w:rPr>
        <w:t>符合专业条件的投标人或对招标文件作实质响应的投标人只有两家，评委会将视情况现场转为竞争性谈判；</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.2</w:t>
      </w:r>
      <w:r>
        <w:rPr>
          <w:rFonts w:hint="eastAsia" w:ascii="宋体" w:hAnsi="宋体" w:cs="宋体"/>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宋体"/>
          <w:b/>
          <w:bCs/>
          <w:sz w:val="24"/>
        </w:rPr>
      </w:pPr>
      <w:r>
        <w:rPr>
          <w:rFonts w:hint="eastAsia" w:ascii="宋体" w:hAnsi="宋体" w:cs="宋体"/>
          <w:sz w:val="24"/>
        </w:rPr>
        <w:t>6</w:t>
      </w:r>
      <w:r>
        <w:rPr>
          <w:rFonts w:ascii="宋体" w:hAnsi="宋体" w:cs="宋体"/>
          <w:sz w:val="24"/>
        </w:rPr>
        <w:t>.3</w:t>
      </w:r>
      <w:r>
        <w:rPr>
          <w:rFonts w:hint="eastAsia" w:ascii="宋体" w:hAnsi="宋体" w:cs="宋体"/>
          <w:sz w:val="24"/>
        </w:rPr>
        <w:t>前次招标流标后，投标人如继续参加二次投标，投标保证金无需重复缴纳。如不参加二次投标的的投标人须书面告知招标人，招标人在规定时间内予以退还投标保证金。</w:t>
      </w:r>
    </w:p>
    <w:p>
      <w:pPr>
        <w:spacing w:line="520" w:lineRule="exact"/>
        <w:rPr>
          <w:rFonts w:ascii="宋体"/>
          <w:kern w:val="0"/>
          <w:sz w:val="24"/>
        </w:rPr>
      </w:pPr>
      <w:r>
        <w:rPr>
          <w:rFonts w:ascii="宋体" w:hAnsi="宋体" w:cs="宋体"/>
          <w:kern w:val="0"/>
          <w:sz w:val="24"/>
        </w:rPr>
        <w:t xml:space="preserve">    </w:t>
      </w: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招标人依据公开、公平、公正原则进行评定标，投标人若认为本次招标过程中存在有违“三公”原则的，可向监标人书面投诉（只接受书面投诉）；联系地址：合肥市黄山路</w:t>
      </w:r>
      <w:r>
        <w:rPr>
          <w:rFonts w:ascii="宋体" w:hAnsi="宋体" w:cs="宋体"/>
          <w:kern w:val="0"/>
          <w:sz w:val="24"/>
        </w:rPr>
        <w:t>596</w:t>
      </w:r>
      <w:r>
        <w:rPr>
          <w:rFonts w:hint="eastAsia" w:ascii="宋体" w:hAnsi="宋体" w:cs="宋体"/>
          <w:kern w:val="0"/>
          <w:sz w:val="24"/>
        </w:rPr>
        <w:t>号</w:t>
      </w:r>
      <w:r>
        <w:rPr>
          <w:rFonts w:ascii="宋体" w:hAnsi="宋体" w:cs="宋体"/>
          <w:kern w:val="0"/>
          <w:sz w:val="24"/>
        </w:rPr>
        <w:t>A</w:t>
      </w:r>
      <w:r>
        <w:rPr>
          <w:rFonts w:hint="eastAsia" w:ascii="宋体" w:hAnsi="宋体" w:cs="宋体"/>
          <w:kern w:val="0"/>
          <w:sz w:val="24"/>
        </w:rPr>
        <w:t>楼</w:t>
      </w:r>
      <w:r>
        <w:rPr>
          <w:rFonts w:ascii="宋体" w:hAnsi="宋体" w:cs="宋体"/>
          <w:kern w:val="0"/>
          <w:sz w:val="24"/>
        </w:rPr>
        <w:t>1503</w:t>
      </w:r>
      <w:r>
        <w:rPr>
          <w:rFonts w:hint="eastAsia" w:ascii="宋体" w:hAnsi="宋体" w:cs="宋体"/>
          <w:kern w:val="0"/>
          <w:sz w:val="24"/>
        </w:rPr>
        <w:t>室</w:t>
      </w:r>
      <w:r>
        <w:rPr>
          <w:rFonts w:ascii="宋体" w:hAnsi="宋体" w:cs="宋体"/>
          <w:kern w:val="0"/>
          <w:sz w:val="24"/>
        </w:rPr>
        <w:t xml:space="preserve">  </w:t>
      </w:r>
      <w:r>
        <w:rPr>
          <w:rFonts w:hint="eastAsia" w:ascii="宋体" w:hAnsi="宋体" w:cs="宋体"/>
          <w:kern w:val="0"/>
          <w:sz w:val="24"/>
        </w:rPr>
        <w:t>百大集团纪检监察室。</w:t>
      </w:r>
    </w:p>
    <w:p>
      <w:pPr>
        <w:spacing w:line="440" w:lineRule="exact"/>
        <w:ind w:firstLine="241" w:firstLineChars="100"/>
        <w:rPr>
          <w:rFonts w:ascii="宋体"/>
          <w:b/>
          <w:sz w:val="24"/>
        </w:rPr>
      </w:pPr>
      <w:r>
        <w:rPr>
          <w:rFonts w:hint="eastAsia" w:ascii="宋体" w:hAnsi="宋体"/>
          <w:b/>
          <w:sz w:val="24"/>
        </w:rPr>
        <w:t>四、答疑及招标文件的澄清与修改</w:t>
      </w:r>
    </w:p>
    <w:p>
      <w:pPr>
        <w:spacing w:line="360" w:lineRule="auto"/>
        <w:ind w:firstLine="240" w:firstLineChars="100"/>
        <w:rPr>
          <w:rFonts w:ascii="宋体"/>
          <w:sz w:val="24"/>
        </w:rPr>
      </w:pPr>
      <w:r>
        <w:rPr>
          <w:rFonts w:ascii="宋体" w:hAnsi="宋体"/>
          <w:sz w:val="24"/>
        </w:rPr>
        <w:t>1</w:t>
      </w:r>
      <w:r>
        <w:rPr>
          <w:rFonts w:hint="eastAsia" w:ascii="宋体" w:hAnsi="宋体"/>
          <w:sz w:val="24"/>
        </w:rPr>
        <w:t>．投标人如果对招标文件及其他任何内容有相关疑问，可以于投标人须知前附表列明的答疑接受时间前，按照第一章联系人及联系方式向我公司提出（疑问文件以文档形式提供，如</w:t>
      </w:r>
      <w:r>
        <w:rPr>
          <w:rFonts w:ascii="宋体" w:hAnsi="宋体"/>
          <w:sz w:val="24"/>
        </w:rPr>
        <w:t>WORD</w:t>
      </w:r>
      <w:r>
        <w:rPr>
          <w:rFonts w:hint="eastAsia" w:ascii="宋体" w:hAnsi="宋体"/>
          <w:sz w:val="24"/>
        </w:rPr>
        <w:t>文档等）。</w:t>
      </w:r>
    </w:p>
    <w:p>
      <w:pPr>
        <w:spacing w:line="360" w:lineRule="auto"/>
        <w:ind w:firstLine="240" w:firstLineChars="100"/>
        <w:rPr>
          <w:rFonts w:ascii="宋体"/>
          <w:sz w:val="24"/>
        </w:rPr>
      </w:pPr>
      <w:r>
        <w:rPr>
          <w:rFonts w:hint="eastAsia" w:ascii="宋体" w:hAnsi="宋体"/>
          <w:sz w:val="24"/>
        </w:rPr>
        <w:t>2．我公司对招标文件进行的答疑、澄清、变更或补充，将在网站上及时发布，该公告内容为招标文件的组成部分，对投标人具有同样约束效力。当招标文件、招标文件的答疑、澄清、变更或补充等在同一内容的表述上不一致时，以最后发出的书面文件为准。投标人应主动上网查询。我公司不承担投标人未及时关注相关信息引发的相关责任。</w:t>
      </w:r>
    </w:p>
    <w:p>
      <w:pPr>
        <w:spacing w:line="440" w:lineRule="exact"/>
        <w:ind w:firstLine="240" w:firstLineChars="100"/>
        <w:rPr>
          <w:rFonts w:ascii="宋体"/>
          <w:b/>
          <w:sz w:val="24"/>
        </w:rPr>
      </w:pPr>
      <w:r>
        <w:rPr>
          <w:rFonts w:hint="eastAsia" w:ascii="宋体" w:hAnsi="宋体"/>
          <w:sz w:val="24"/>
        </w:rPr>
        <w:t>3．为有助于投标文件的审查、评估和比较，招标人有权向投标人质疑并请投标人澄清其投标内容。</w:t>
      </w:r>
      <w:r>
        <w:rPr>
          <w:rFonts w:hint="eastAsia" w:ascii="宋体" w:hAnsi="宋体"/>
          <w:b/>
          <w:sz w:val="24"/>
        </w:rPr>
        <w:t>投标人应当按照招标人通知的时间、地点，指派专人进行答疑和澄清。</w:t>
      </w:r>
    </w:p>
    <w:p>
      <w:pPr>
        <w:spacing w:line="440" w:lineRule="exact"/>
        <w:ind w:firstLine="240" w:firstLineChars="100"/>
        <w:rPr>
          <w:rFonts w:ascii="宋体"/>
          <w:sz w:val="24"/>
        </w:rPr>
      </w:pPr>
      <w:r>
        <w:rPr>
          <w:rFonts w:hint="eastAsia" w:ascii="宋体" w:hAnsi="宋体"/>
          <w:sz w:val="24"/>
        </w:rPr>
        <w:t>4．重要的澄清应是书面的，但不得对投标内容进行实质性修改。</w:t>
      </w:r>
    </w:p>
    <w:p>
      <w:pPr>
        <w:spacing w:line="440" w:lineRule="exact"/>
        <w:ind w:firstLine="236" w:firstLineChars="98"/>
        <w:rPr>
          <w:rFonts w:ascii="宋体"/>
          <w:b/>
          <w:sz w:val="24"/>
        </w:rPr>
      </w:pPr>
      <w:r>
        <w:rPr>
          <w:rFonts w:hint="eastAsia" w:ascii="宋体" w:hAnsi="宋体"/>
          <w:b/>
          <w:sz w:val="24"/>
        </w:rPr>
        <w:t>五、服务合同的确定</w:t>
      </w:r>
    </w:p>
    <w:p>
      <w:pPr>
        <w:spacing w:line="440" w:lineRule="exact"/>
        <w:ind w:firstLine="240" w:firstLineChars="1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440" w:lineRule="exact"/>
        <w:ind w:firstLine="240" w:firstLineChars="1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440" w:lineRule="exact"/>
        <w:ind w:firstLine="240" w:firstLineChars="100"/>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360" w:lineRule="auto"/>
        <w:ind w:firstLine="236" w:firstLineChars="98"/>
        <w:rPr>
          <w:rFonts w:ascii="宋体"/>
          <w:b/>
          <w:sz w:val="24"/>
        </w:rPr>
      </w:pPr>
      <w:r>
        <w:rPr>
          <w:rFonts w:hint="eastAsia" w:ascii="宋体" w:hAnsi="宋体"/>
          <w:b/>
          <w:sz w:val="24"/>
        </w:rPr>
        <w:t>六、履约保证金</w:t>
      </w:r>
    </w:p>
    <w:p>
      <w:pPr>
        <w:spacing w:line="360" w:lineRule="auto"/>
        <w:ind w:firstLine="240" w:firstLineChars="100"/>
        <w:rPr>
          <w:rFonts w:ascii="宋体"/>
          <w:dstrike/>
          <w:sz w:val="24"/>
        </w:rPr>
      </w:pPr>
      <w:r>
        <w:rPr>
          <w:rFonts w:ascii="宋体" w:hAnsi="宋体"/>
          <w:sz w:val="24"/>
        </w:rPr>
        <w:t>1.</w:t>
      </w:r>
      <w:r>
        <w:rPr>
          <w:rFonts w:hint="eastAsia" w:ascii="宋体" w:hAnsi="宋体"/>
          <w:sz w:val="24"/>
        </w:rPr>
        <w:t>签订合同前，投标人应提交履约保证金。履约保证金金额、收受方式及收受人见投标人须知前附表规定。</w:t>
      </w:r>
    </w:p>
    <w:p>
      <w:pPr>
        <w:spacing w:line="360" w:lineRule="auto"/>
        <w:ind w:firstLine="240" w:firstLineChars="100"/>
        <w:rPr>
          <w:rFonts w:ascii="宋体"/>
          <w:sz w:val="24"/>
        </w:rPr>
      </w:pPr>
      <w:r>
        <w:rPr>
          <w:rFonts w:ascii="宋体" w:hAnsi="宋体"/>
          <w:sz w:val="24"/>
        </w:rPr>
        <w:t>2.</w:t>
      </w:r>
      <w:r>
        <w:rPr>
          <w:rFonts w:hint="eastAsia" w:ascii="宋体" w:hAnsi="宋体"/>
          <w:sz w:val="24"/>
        </w:rPr>
        <w:t>投标人须知前附表约定收取定额履约保证金或免收履约保证金的，从其规定。</w:t>
      </w:r>
    </w:p>
    <w:p>
      <w:pPr>
        <w:spacing w:line="360" w:lineRule="auto"/>
        <w:ind w:firstLine="240" w:firstLineChars="100"/>
        <w:rPr>
          <w:rFonts w:ascii="宋体"/>
          <w:sz w:val="24"/>
        </w:rPr>
      </w:pPr>
      <w:r>
        <w:rPr>
          <w:rFonts w:ascii="宋体" w:hAnsi="宋体"/>
          <w:sz w:val="24"/>
        </w:rPr>
        <w:t>3.</w:t>
      </w:r>
      <w:r>
        <w:rPr>
          <w:rFonts w:hint="eastAsia" w:ascii="宋体" w:hAnsi="宋体"/>
          <w:sz w:val="24"/>
        </w:rPr>
        <w:t>如果中标人未按规定交纳履约保证金，招标人有权取消其中标资格，并没收其投标保证金。</w:t>
      </w:r>
    </w:p>
    <w:p>
      <w:pPr>
        <w:spacing w:line="440" w:lineRule="exact"/>
        <w:ind w:firstLine="240" w:firstLineChars="100"/>
        <w:rPr>
          <w:rFonts w:ascii="宋体"/>
          <w:sz w:val="24"/>
        </w:rPr>
      </w:pPr>
    </w:p>
    <w:p>
      <w:pPr>
        <w:rPr>
          <w:rFonts w:ascii="宋体"/>
          <w:sz w:val="24"/>
        </w:rPr>
      </w:pPr>
      <w:r>
        <w:rPr>
          <w:rFonts w:ascii="宋体"/>
          <w:sz w:val="24"/>
        </w:rPr>
        <w:t xml:space="preserve">                                   </w:t>
      </w: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jc w:val="center"/>
        <w:rPr>
          <w:rFonts w:ascii="宋体"/>
          <w:b/>
          <w:sz w:val="28"/>
          <w:szCs w:val="28"/>
        </w:rPr>
      </w:pPr>
    </w:p>
    <w:p>
      <w:pPr>
        <w:pStyle w:val="2"/>
        <w:numPr>
          <w:ilvl w:val="0"/>
          <w:numId w:val="0"/>
        </w:numPr>
      </w:pPr>
      <w:bookmarkStart w:id="7" w:name="_Toc491005867"/>
      <w:bookmarkStart w:id="8" w:name="_Toc13732419"/>
      <w:r>
        <w:rPr>
          <w:rFonts w:hint="eastAsia"/>
        </w:rPr>
        <w:t>第四章</w:t>
      </w:r>
      <w:r>
        <w:t xml:space="preserve"> </w:t>
      </w:r>
      <w:r>
        <w:rPr>
          <w:rFonts w:hint="eastAsia"/>
        </w:rPr>
        <w:t>招标需求</w:t>
      </w:r>
      <w:bookmarkEnd w:id="7"/>
      <w:bookmarkEnd w:id="8"/>
    </w:p>
    <w:p>
      <w:pPr>
        <w:spacing w:line="360" w:lineRule="auto"/>
        <w:ind w:firstLine="480" w:firstLineChars="200"/>
        <w:rPr>
          <w:sz w:val="24"/>
        </w:rPr>
      </w:pPr>
      <w:bookmarkStart w:id="9" w:name="_Toc484762213"/>
      <w:bookmarkStart w:id="10" w:name="_Toc486253611"/>
      <w:bookmarkStart w:id="11" w:name="_Toc486433794"/>
      <w:bookmarkStart w:id="12" w:name="_Toc486254518"/>
    </w:p>
    <w:p>
      <w:pPr>
        <w:pStyle w:val="4"/>
        <w:spacing w:line="360" w:lineRule="auto"/>
        <w:rPr>
          <w:rFonts w:hAnsi="宋体"/>
          <w:sz w:val="24"/>
          <w:szCs w:val="24"/>
        </w:rPr>
      </w:pPr>
      <w:bookmarkStart w:id="13" w:name="_Toc13732420"/>
      <w:r>
        <w:rPr>
          <w:rFonts w:hint="eastAsia" w:hAnsi="宋体"/>
          <w:sz w:val="24"/>
          <w:szCs w:val="24"/>
        </w:rPr>
        <w:t>一、项目概述</w:t>
      </w:r>
      <w:bookmarkEnd w:id="9"/>
      <w:bookmarkEnd w:id="10"/>
      <w:bookmarkEnd w:id="11"/>
      <w:bookmarkEnd w:id="12"/>
      <w:bookmarkEnd w:id="13"/>
    </w:p>
    <w:p>
      <w:pPr>
        <w:spacing w:line="360" w:lineRule="auto"/>
        <w:ind w:firstLine="555"/>
        <w:rPr>
          <w:rFonts w:ascii="宋体" w:hAnsi="宋体"/>
          <w:color w:val="000000"/>
          <w:sz w:val="24"/>
          <w:shd w:val="clear" w:color="auto" w:fill="FFFFFF"/>
        </w:rPr>
      </w:pPr>
      <w:r>
        <w:rPr>
          <w:rFonts w:hint="eastAsia" w:asciiTheme="minorEastAsia" w:hAnsiTheme="minorEastAsia" w:eastAsiaTheme="minorEastAsia"/>
          <w:sz w:val="24"/>
        </w:rPr>
        <w:t>合百集团蚌埠百大购物中心宝龙店于</w:t>
      </w:r>
      <w:r>
        <w:rPr>
          <w:rFonts w:asciiTheme="minorEastAsia" w:hAnsiTheme="minorEastAsia" w:eastAsiaTheme="minorEastAsia"/>
          <w:sz w:val="24"/>
        </w:rPr>
        <w:t>2013</w:t>
      </w:r>
      <w:r>
        <w:rPr>
          <w:rFonts w:hint="eastAsia" w:asciiTheme="minorEastAsia" w:hAnsiTheme="minorEastAsia" w:eastAsiaTheme="minorEastAsia"/>
          <w:sz w:val="24"/>
        </w:rPr>
        <w:t>年</w:t>
      </w:r>
      <w:r>
        <w:rPr>
          <w:rFonts w:asciiTheme="minorEastAsia" w:hAnsiTheme="minorEastAsia" w:eastAsiaTheme="minorEastAsia"/>
          <w:sz w:val="24"/>
        </w:rPr>
        <w:t>1</w:t>
      </w:r>
      <w:r>
        <w:rPr>
          <w:rFonts w:hint="eastAsia" w:asciiTheme="minorEastAsia" w:hAnsiTheme="minorEastAsia" w:eastAsiaTheme="minorEastAsia"/>
          <w:sz w:val="24"/>
        </w:rPr>
        <w:t>月</w:t>
      </w:r>
      <w:r>
        <w:rPr>
          <w:rFonts w:asciiTheme="minorEastAsia" w:hAnsiTheme="minorEastAsia" w:eastAsiaTheme="minorEastAsia"/>
          <w:sz w:val="24"/>
        </w:rPr>
        <w:t>31</w:t>
      </w:r>
      <w:r>
        <w:rPr>
          <w:rFonts w:hint="eastAsia" w:asciiTheme="minorEastAsia" w:hAnsiTheme="minorEastAsia" w:eastAsiaTheme="minorEastAsia"/>
          <w:sz w:val="24"/>
        </w:rPr>
        <w:t>日开业，位于蚌埠市涂山东路1596号（兴业街555号宝龙城市广场2号楼）。现在</w:t>
      </w:r>
      <w:r>
        <w:rPr>
          <w:rFonts w:hint="eastAsia" w:ascii="宋体" w:hAnsi="宋体"/>
          <w:color w:val="000000"/>
          <w:sz w:val="24"/>
          <w:shd w:val="clear" w:color="auto" w:fill="FFFFFF"/>
        </w:rPr>
        <w:t>使用的监控系统主要为2012年建设，2015年对部分区域做了改造，更换了32套数字摄像机。目前系统主体仍以模拟摄像机为主，视频清晰度和监控范围满足不了现在的使用需求，数据存贮也无法达到至少保留90天的规定。</w:t>
      </w:r>
    </w:p>
    <w:p/>
    <w:p>
      <w:pPr>
        <w:pStyle w:val="4"/>
        <w:spacing w:line="360" w:lineRule="auto"/>
        <w:rPr>
          <w:rFonts w:hAnsi="宋体"/>
          <w:sz w:val="24"/>
          <w:szCs w:val="24"/>
        </w:rPr>
      </w:pPr>
      <w:bookmarkStart w:id="14" w:name="_Toc13732425"/>
      <w:r>
        <w:rPr>
          <w:rFonts w:hint="eastAsia" w:hAnsi="宋体"/>
          <w:sz w:val="24"/>
          <w:szCs w:val="24"/>
        </w:rPr>
        <w:t>二、</w:t>
      </w:r>
      <w:bookmarkEnd w:id="14"/>
      <w:r>
        <w:rPr>
          <w:rFonts w:hint="eastAsia" w:hAnsi="宋体"/>
          <w:sz w:val="24"/>
          <w:szCs w:val="24"/>
        </w:rPr>
        <w:t>设计需求</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1.改造范围</w:t>
      </w:r>
    </w:p>
    <w:p>
      <w:pPr>
        <w:spacing w:line="360" w:lineRule="auto"/>
        <w:ind w:firstLine="555"/>
        <w:rPr>
          <w:rFonts w:asciiTheme="minorEastAsia" w:hAnsiTheme="minorEastAsia" w:eastAsiaTheme="minorEastAsia"/>
          <w:sz w:val="24"/>
        </w:rPr>
      </w:pPr>
      <w:r>
        <w:rPr>
          <w:rFonts w:asciiTheme="minorEastAsia" w:hAnsiTheme="minorEastAsia" w:eastAsiaTheme="minorEastAsia"/>
          <w:sz w:val="24"/>
        </w:rPr>
        <w:t xml:space="preserve">⑴ </w:t>
      </w:r>
      <w:r>
        <w:rPr>
          <w:rFonts w:hint="eastAsia" w:asciiTheme="minorEastAsia" w:hAnsiTheme="minorEastAsia" w:eastAsiaTheme="minorEastAsia"/>
          <w:sz w:val="24"/>
        </w:rPr>
        <w:t>1-4楼除超市外的公共区域、关键位置及设施（如收银台、总服务台）；安全通道；一楼监控室；正门口广场停车场；五楼办公区及五楼顶平台。</w:t>
      </w:r>
    </w:p>
    <w:p>
      <w:pPr>
        <w:spacing w:line="360" w:lineRule="auto"/>
        <w:ind w:left="420" w:firstLine="135"/>
        <w:jc w:val="left"/>
        <w:rPr>
          <w:sz w:val="28"/>
          <w:szCs w:val="28"/>
        </w:rPr>
      </w:pPr>
      <w:r>
        <w:rPr>
          <w:rFonts w:asciiTheme="minorEastAsia" w:hAnsiTheme="minorEastAsia" w:eastAsiaTheme="minorEastAsia"/>
          <w:sz w:val="24"/>
        </w:rPr>
        <w:t xml:space="preserve">⑵ </w:t>
      </w:r>
      <w:r>
        <w:rPr>
          <w:rFonts w:hint="eastAsia" w:asciiTheme="minorEastAsia" w:hAnsiTheme="minorEastAsia" w:eastAsiaTheme="minorEastAsia"/>
          <w:sz w:val="24"/>
        </w:rPr>
        <w:t>监控室装饰改造：监控室面积16</w:t>
      </w:r>
      <w:r>
        <w:rPr>
          <w:rFonts w:asciiTheme="minorEastAsia" w:hAnsiTheme="minorEastAsia" w:eastAsiaTheme="minorEastAsia"/>
          <w:sz w:val="24"/>
        </w:rPr>
        <w:t>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本次改造主要是更换防静电地板及吊顶、墙面乳胶漆刷白。因本工程建设，需要对现有在用系统进行破拆、改动的部份，必须在工程完毕之前恢复，并在原系统主要线路不变动的基础上，原有系统能正常运行。监控室改造时间不超过10个工作日，改造方案由投标单位现场踏勘后自行设计。</w:t>
      </w:r>
    </w:p>
    <w:p>
      <w:pPr>
        <w:spacing w:line="360" w:lineRule="auto"/>
        <w:rPr>
          <w:rFonts w:asciiTheme="minorEastAsia" w:hAnsiTheme="minorEastAsia" w:eastAsiaTheme="minorEastAsia"/>
          <w:sz w:val="24"/>
        </w:rPr>
      </w:pPr>
      <w:r>
        <w:tab/>
      </w:r>
      <w:r>
        <w:rPr>
          <w:rFonts w:hint="eastAsia"/>
        </w:rPr>
        <w:t>2.</w:t>
      </w:r>
      <w:r>
        <w:rPr>
          <w:rFonts w:hint="eastAsia"/>
          <w:sz w:val="28"/>
          <w:szCs w:val="28"/>
        </w:rPr>
        <w:t xml:space="preserve"> </w:t>
      </w:r>
      <w:r>
        <w:rPr>
          <w:rFonts w:hint="eastAsia" w:asciiTheme="minorEastAsia" w:hAnsiTheme="minorEastAsia" w:eastAsiaTheme="minorEastAsia"/>
          <w:sz w:val="24"/>
        </w:rPr>
        <w:t>设计图说明</w:t>
      </w:r>
    </w:p>
    <w:p>
      <w:pPr>
        <w:spacing w:line="360" w:lineRule="auto"/>
        <w:rPr>
          <w:rFonts w:asciiTheme="minorEastAsia" w:hAnsiTheme="minorEastAsia" w:eastAsiaTheme="minorEastAsia"/>
          <w:sz w:val="24"/>
        </w:rPr>
      </w:pPr>
      <w:r>
        <w:rPr>
          <w:rFonts w:asciiTheme="minorEastAsia" w:hAnsiTheme="minorEastAsia" w:eastAsiaTheme="minorEastAsia"/>
          <w:sz w:val="24"/>
        </w:rPr>
        <w:tab/>
      </w:r>
      <w:r>
        <w:rPr>
          <w:rFonts w:hint="eastAsia" w:asciiTheme="minorEastAsia" w:hAnsiTheme="minorEastAsia" w:eastAsiaTheme="minorEastAsia"/>
          <w:sz w:val="24"/>
        </w:rPr>
        <w:t>由于缺乏系统的的结构图及装饰图，原有弱电桥架线路走势及相关数据缺失，设计图是在后期商场布局图为底图的基础上，结合现场情况稍作修改后进行的设计，总体格局一致，尺寸略有误差，投标单位投标前应实地勘察并确定施工方案。</w:t>
      </w:r>
    </w:p>
    <w:p>
      <w:pPr>
        <w:ind w:firstLine="420"/>
        <w:jc w:val="left"/>
        <w:rPr>
          <w:rFonts w:asciiTheme="minorEastAsia" w:hAnsiTheme="minorEastAsia" w:eastAsiaTheme="minorEastAsia"/>
          <w:sz w:val="24"/>
        </w:rPr>
      </w:pPr>
      <w:r>
        <w:rPr>
          <w:rFonts w:hint="eastAsia" w:asciiTheme="minorEastAsia" w:hAnsiTheme="minorEastAsia" w:eastAsiaTheme="minorEastAsia"/>
          <w:sz w:val="24"/>
        </w:rPr>
        <w:t>3.系统组成：</w:t>
      </w:r>
    </w:p>
    <w:p>
      <w:pPr>
        <w:spacing w:line="360" w:lineRule="auto"/>
        <w:ind w:firstLine="556"/>
        <w:rPr>
          <w:rFonts w:asciiTheme="minorEastAsia" w:hAnsiTheme="minorEastAsia" w:eastAsiaTheme="minorEastAsia"/>
          <w:sz w:val="24"/>
        </w:rPr>
      </w:pPr>
      <w:r>
        <w:rPr>
          <w:rFonts w:asciiTheme="minorEastAsia" w:hAnsiTheme="minorEastAsia" w:eastAsiaTheme="minorEastAsia"/>
          <w:sz w:val="24"/>
        </w:rPr>
        <w:t xml:space="preserve">⑴ </w:t>
      </w:r>
      <w:r>
        <w:rPr>
          <w:rFonts w:hint="eastAsia" w:asciiTheme="minorEastAsia" w:hAnsiTheme="minorEastAsia" w:eastAsiaTheme="minorEastAsia"/>
          <w:sz w:val="24"/>
        </w:rPr>
        <w:t>前端视频数据采集部分：通过网络摄像机实现对各个监控区域的图像采集，考虑商场营业的特性，采用目前市场主流的200</w:t>
      </w:r>
      <w:r>
        <w:rPr>
          <w:rFonts w:asciiTheme="minorEastAsia" w:hAnsiTheme="minorEastAsia" w:eastAsiaTheme="minorEastAsia"/>
          <w:sz w:val="24"/>
        </w:rPr>
        <w:t>W</w:t>
      </w:r>
      <w:r>
        <w:rPr>
          <w:rFonts w:hint="eastAsia" w:asciiTheme="minorEastAsia" w:hAnsiTheme="minorEastAsia" w:eastAsiaTheme="minorEastAsia"/>
          <w:sz w:val="24"/>
        </w:rPr>
        <w:t>像素红外摄像机可以满足需求，除电梯摄像机外，其余均采用P</w:t>
      </w:r>
      <w:r>
        <w:rPr>
          <w:rFonts w:asciiTheme="minorEastAsia" w:hAnsiTheme="minorEastAsia" w:eastAsiaTheme="minorEastAsia"/>
          <w:sz w:val="24"/>
        </w:rPr>
        <w:t>OE</w:t>
      </w:r>
      <w:r>
        <w:rPr>
          <w:rFonts w:hint="eastAsia" w:asciiTheme="minorEastAsia" w:hAnsiTheme="minorEastAsia" w:eastAsiaTheme="minorEastAsia"/>
          <w:sz w:val="24"/>
        </w:rPr>
        <w:t>供电模式。根据实际安装高度和视角要求，室内可采用焦距2.8mm、3.6mm、6mm的半球红外摄像机，室外采用焦距为6-12mm焦距的枪机。因正大门为停车场，采用枪机覆盖，周边其余三面多为独立出租铺面，因而取消球机的设计。前端可利旧摄像头数量32台。</w:t>
      </w:r>
    </w:p>
    <w:p>
      <w:pPr>
        <w:spacing w:line="360" w:lineRule="auto"/>
        <w:ind w:firstLine="556"/>
        <w:rPr>
          <w:rFonts w:asciiTheme="minorEastAsia" w:hAnsiTheme="minorEastAsia" w:eastAsiaTheme="minorEastAsia"/>
          <w:sz w:val="24"/>
        </w:rPr>
      </w:pPr>
      <w:r>
        <w:rPr>
          <w:rFonts w:asciiTheme="minorEastAsia" w:hAnsiTheme="minorEastAsia" w:eastAsiaTheme="minorEastAsia"/>
          <w:sz w:val="24"/>
        </w:rPr>
        <w:t xml:space="preserve">⑵ </w:t>
      </w:r>
      <w:r>
        <w:rPr>
          <w:rFonts w:hint="eastAsia" w:asciiTheme="minorEastAsia" w:hAnsiTheme="minorEastAsia" w:eastAsiaTheme="minorEastAsia"/>
          <w:sz w:val="24"/>
        </w:rPr>
        <w:t>视频数据传输部分：主干采用8芯单模光纤，由监控室连接每楼层的2个接入交换，接入交换采用P</w:t>
      </w:r>
      <w:r>
        <w:rPr>
          <w:rFonts w:asciiTheme="minorEastAsia" w:hAnsiTheme="minorEastAsia" w:eastAsiaTheme="minorEastAsia"/>
          <w:sz w:val="24"/>
        </w:rPr>
        <w:t>OE</w:t>
      </w:r>
      <w:r>
        <w:rPr>
          <w:rFonts w:hint="eastAsia" w:asciiTheme="minorEastAsia" w:hAnsiTheme="minorEastAsia" w:eastAsiaTheme="minorEastAsia"/>
          <w:sz w:val="24"/>
        </w:rPr>
        <w:t>供电，水平干线采用6类U</w:t>
      </w:r>
      <w:r>
        <w:rPr>
          <w:rFonts w:asciiTheme="minorEastAsia" w:hAnsiTheme="minorEastAsia" w:eastAsiaTheme="minorEastAsia"/>
          <w:sz w:val="24"/>
        </w:rPr>
        <w:t>PT</w:t>
      </w:r>
      <w:r>
        <w:rPr>
          <w:rFonts w:hint="eastAsia" w:asciiTheme="minorEastAsia" w:hAnsiTheme="minorEastAsia" w:eastAsiaTheme="minorEastAsia"/>
          <w:sz w:val="24"/>
        </w:rPr>
        <w:t>铺设，线路铺设尽量利用原有桥架走线。</w:t>
      </w:r>
    </w:p>
    <w:p>
      <w:pPr>
        <w:spacing w:line="360" w:lineRule="auto"/>
        <w:ind w:firstLine="556"/>
        <w:rPr>
          <w:rFonts w:asciiTheme="minorEastAsia" w:hAnsiTheme="minorEastAsia" w:eastAsiaTheme="minorEastAsia"/>
          <w:sz w:val="24"/>
        </w:rPr>
      </w:pPr>
      <w:r>
        <w:rPr>
          <w:rFonts w:hint="eastAsia" w:asciiTheme="minorEastAsia" w:hAnsiTheme="minorEastAsia" w:eastAsiaTheme="minorEastAsia"/>
          <w:sz w:val="24"/>
        </w:rPr>
        <w:t>⑶ 监控系统后台部分：根据防范恐怖袭击重点目标的的视频图像信息保存期限不少于90天的规定，后台采用一台128路加2台64路N</w:t>
      </w:r>
      <w:r>
        <w:rPr>
          <w:rFonts w:asciiTheme="minorEastAsia" w:hAnsiTheme="minorEastAsia" w:eastAsiaTheme="minorEastAsia"/>
          <w:sz w:val="24"/>
        </w:rPr>
        <w:t>VR</w:t>
      </w:r>
      <w:r>
        <w:rPr>
          <w:rFonts w:hint="eastAsia" w:asciiTheme="minorEastAsia" w:hAnsiTheme="minorEastAsia" w:eastAsiaTheme="minorEastAsia"/>
          <w:sz w:val="24"/>
        </w:rPr>
        <w:t>，既保证的数据存储的容量，也有一定的扩容余地。</w:t>
      </w:r>
    </w:p>
    <w:p>
      <w:pPr>
        <w:spacing w:line="360" w:lineRule="auto"/>
        <w:ind w:firstLine="556"/>
        <w:rPr>
          <w:rFonts w:asciiTheme="minorEastAsia" w:hAnsiTheme="minorEastAsia" w:eastAsiaTheme="minorEastAsia"/>
          <w:sz w:val="24"/>
        </w:rPr>
      </w:pPr>
      <w:r>
        <w:rPr>
          <w:rFonts w:hint="eastAsia" w:asciiTheme="minorEastAsia" w:hAnsiTheme="minorEastAsia" w:eastAsiaTheme="minorEastAsia"/>
          <w:sz w:val="24"/>
        </w:rPr>
        <w:t>⑷ 监控显示终端：监控终端功能是监看实施监控画面、查询回放录像。监控屏幕采用4块46寸拼接屏，以“</w:t>
      </w:r>
      <w:r>
        <w:rPr>
          <w:rFonts w:asciiTheme="minorEastAsia" w:hAnsiTheme="minorEastAsia" w:eastAsiaTheme="minorEastAsia"/>
          <w:sz w:val="24"/>
        </w:rPr>
        <w:t>2X2</w:t>
      </w:r>
      <w:r>
        <w:rPr>
          <w:rFonts w:hint="eastAsia" w:asciiTheme="minorEastAsia" w:hAnsiTheme="minorEastAsia" w:eastAsiaTheme="minorEastAsia"/>
          <w:sz w:val="24"/>
        </w:rPr>
        <w:t>”方式壁挂安装于墙面上，并与墙面成15°的俯角。</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4.兼容性要求：</w:t>
      </w:r>
    </w:p>
    <w:p>
      <w:pPr>
        <w:spacing w:line="360" w:lineRule="auto"/>
        <w:ind w:firstLine="420"/>
        <w:rPr>
          <w:rFonts w:asciiTheme="minorEastAsia" w:hAnsiTheme="minorEastAsia" w:eastAsiaTheme="minorEastAsia"/>
          <w:sz w:val="24"/>
        </w:rPr>
      </w:pPr>
      <w:r>
        <w:rPr>
          <w:rFonts w:hint="eastAsia" w:asciiTheme="minorEastAsia" w:hAnsiTheme="minorEastAsia" w:eastAsiaTheme="minorEastAsia"/>
          <w:sz w:val="24"/>
        </w:rPr>
        <w:t>因本项目属于升级改造，部份数字摄像头利旧，型号为海康威视D</w:t>
      </w:r>
      <w:r>
        <w:rPr>
          <w:rFonts w:asciiTheme="minorEastAsia" w:hAnsiTheme="minorEastAsia" w:eastAsiaTheme="minorEastAsia"/>
          <w:sz w:val="24"/>
        </w:rPr>
        <w:t>S-2CD3345-I,</w:t>
      </w:r>
      <w:r>
        <w:rPr>
          <w:rFonts w:hint="eastAsia" w:asciiTheme="minorEastAsia" w:hAnsiTheme="minorEastAsia" w:eastAsiaTheme="minorEastAsia"/>
          <w:sz w:val="24"/>
        </w:rPr>
        <w:t>因此投标单位在设备选型时，应充分考虑新系统与原有利旧设备的无缝兼容，因与原设备不兼容造成的一切后果由中标单位负责；</w:t>
      </w:r>
    </w:p>
    <w:p>
      <w:pPr>
        <w:ind w:firstLine="420"/>
        <w:jc w:val="left"/>
        <w:rPr>
          <w:rFonts w:asciiTheme="minorEastAsia" w:hAnsiTheme="minorEastAsia" w:eastAsiaTheme="minorEastAsia"/>
          <w:sz w:val="24"/>
        </w:rPr>
      </w:pPr>
      <w:r>
        <w:rPr>
          <w:rFonts w:hint="eastAsia" w:asciiTheme="minorEastAsia" w:hAnsiTheme="minorEastAsia" w:eastAsiaTheme="minorEastAsia"/>
          <w:sz w:val="24"/>
        </w:rPr>
        <w:t>5.</w:t>
      </w:r>
      <w:r>
        <w:rPr>
          <w:rFonts w:hint="eastAsia"/>
          <w:sz w:val="28"/>
          <w:szCs w:val="28"/>
        </w:rPr>
        <w:t xml:space="preserve"> </w:t>
      </w:r>
      <w:r>
        <w:rPr>
          <w:rFonts w:hint="eastAsia" w:asciiTheme="minorEastAsia" w:hAnsiTheme="minorEastAsia" w:eastAsiaTheme="minorEastAsia"/>
          <w:sz w:val="24"/>
        </w:rPr>
        <w:t>监控信息点数量及布局：</w:t>
      </w:r>
    </w:p>
    <w:p>
      <w:pPr>
        <w:ind w:firstLine="420"/>
        <w:jc w:val="left"/>
        <w:rPr>
          <w:rFonts w:asciiTheme="minorEastAsia" w:hAnsiTheme="minorEastAsia" w:eastAsiaTheme="minorEastAsia"/>
          <w:sz w:val="24"/>
        </w:rPr>
      </w:pPr>
    </w:p>
    <w:tbl>
      <w:tblPr>
        <w:tblStyle w:val="25"/>
        <w:tblW w:w="8820" w:type="dxa"/>
        <w:jc w:val="center"/>
        <w:tblLayout w:type="autofit"/>
        <w:tblCellMar>
          <w:top w:w="0" w:type="dxa"/>
          <w:left w:w="108" w:type="dxa"/>
          <w:bottom w:w="0" w:type="dxa"/>
          <w:right w:w="108" w:type="dxa"/>
        </w:tblCellMar>
      </w:tblPr>
      <w:tblGrid>
        <w:gridCol w:w="2000"/>
        <w:gridCol w:w="2440"/>
        <w:gridCol w:w="2200"/>
        <w:gridCol w:w="2180"/>
      </w:tblGrid>
      <w:tr>
        <w:tblPrEx>
          <w:tblCellMar>
            <w:top w:w="0" w:type="dxa"/>
            <w:left w:w="108" w:type="dxa"/>
            <w:bottom w:w="0" w:type="dxa"/>
            <w:right w:w="108" w:type="dxa"/>
          </w:tblCellMar>
        </w:tblPrEx>
        <w:trPr>
          <w:trHeight w:val="499" w:hRule="atLeast"/>
          <w:jc w:val="center"/>
        </w:trPr>
        <w:tc>
          <w:tcPr>
            <w:tcW w:w="20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区域</w:t>
            </w:r>
          </w:p>
        </w:tc>
        <w:tc>
          <w:tcPr>
            <w:tcW w:w="24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室内半球摄像机</w:t>
            </w:r>
          </w:p>
        </w:tc>
        <w:tc>
          <w:tcPr>
            <w:tcW w:w="22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电梯摄像机</w:t>
            </w:r>
          </w:p>
        </w:tc>
        <w:tc>
          <w:tcPr>
            <w:tcW w:w="21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室外枪机</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停车场</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12</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负一楼</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一楼</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42</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二楼</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36</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三楼</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44</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四楼</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46</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办公区</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5</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楼顶平台</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2</w:t>
            </w:r>
          </w:p>
        </w:tc>
      </w:tr>
      <w:tr>
        <w:tblPrEx>
          <w:tblCellMar>
            <w:top w:w="0" w:type="dxa"/>
            <w:left w:w="108" w:type="dxa"/>
            <w:bottom w:w="0" w:type="dxa"/>
            <w:right w:w="108" w:type="dxa"/>
          </w:tblCellMar>
        </w:tblPrEx>
        <w:trPr>
          <w:trHeight w:val="499" w:hRule="atLeast"/>
          <w:jc w:val="center"/>
        </w:trPr>
        <w:tc>
          <w:tcPr>
            <w:tcW w:w="20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小计</w:t>
            </w:r>
          </w:p>
        </w:tc>
        <w:tc>
          <w:tcPr>
            <w:tcW w:w="244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176</w:t>
            </w:r>
          </w:p>
        </w:tc>
        <w:tc>
          <w:tcPr>
            <w:tcW w:w="22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3</w:t>
            </w:r>
          </w:p>
        </w:tc>
        <w:tc>
          <w:tcPr>
            <w:tcW w:w="21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rPr>
            </w:pPr>
            <w:r>
              <w:rPr>
                <w:rFonts w:hint="eastAsia" w:ascii="宋体" w:hAnsi="宋体" w:cs="宋体"/>
                <w:kern w:val="0"/>
                <w:sz w:val="24"/>
              </w:rPr>
              <w:t>14</w:t>
            </w:r>
          </w:p>
        </w:tc>
      </w:tr>
    </w:tbl>
    <w:p>
      <w:pPr>
        <w:spacing w:line="360" w:lineRule="auto"/>
        <w:ind w:firstLine="556"/>
        <w:rPr>
          <w:rFonts w:asciiTheme="minorEastAsia" w:hAnsiTheme="minorEastAsia" w:eastAsiaTheme="minorEastAsia"/>
          <w:sz w:val="24"/>
        </w:rPr>
      </w:pPr>
      <w:r>
        <w:rPr>
          <w:rFonts w:hint="eastAsia" w:asciiTheme="minorEastAsia" w:hAnsiTheme="minorEastAsia" w:eastAsiaTheme="minorEastAsia"/>
          <w:sz w:val="24"/>
        </w:rPr>
        <w:t>6．监控室装饰改造</w:t>
      </w:r>
    </w:p>
    <w:p>
      <w:pPr>
        <w:spacing w:line="360" w:lineRule="auto"/>
        <w:ind w:firstLine="420"/>
        <w:jc w:val="left"/>
        <w:rPr>
          <w:sz w:val="28"/>
          <w:szCs w:val="28"/>
        </w:rPr>
      </w:pPr>
      <w:r>
        <w:rPr>
          <w:rFonts w:hint="eastAsia" w:ascii="宋体" w:hAnsi="宋体" w:cs="宋体"/>
          <w:sz w:val="24"/>
        </w:rPr>
        <w:t>监控室面积16</w:t>
      </w:r>
      <w:r>
        <w:rPr>
          <w:rFonts w:ascii="宋体" w:hAnsi="宋体" w:cs="宋体"/>
          <w:sz w:val="24"/>
        </w:rPr>
        <w:t>M</w:t>
      </w:r>
      <w:r>
        <w:rPr>
          <w:rFonts w:hint="eastAsia" w:ascii="宋体" w:hAnsi="宋体" w:cs="宋体"/>
          <w:sz w:val="24"/>
          <w:vertAlign w:val="superscript"/>
        </w:rPr>
        <w:t>2</w:t>
      </w:r>
      <w:r>
        <w:rPr>
          <w:rFonts w:hint="eastAsia" w:ascii="宋体" w:hAnsi="宋体" w:cs="宋体"/>
          <w:sz w:val="24"/>
        </w:rPr>
        <w:t>，</w:t>
      </w:r>
      <w:r>
        <w:rPr>
          <w:rFonts w:hint="eastAsia" w:asciiTheme="minorEastAsia" w:hAnsiTheme="minorEastAsia" w:eastAsiaTheme="minorEastAsia"/>
          <w:sz w:val="24"/>
        </w:rPr>
        <w:t>本次改造主要是更换防静电地板及吊顶、墙面乳胶漆刷白。因本工程建设，需要对现有在用系统进行破拆、改动的部份，必须在工程完毕之前恢复，并在原系统主要线路不变动的基础上，原有系统能正常运行。监控室改造时间不超过10个工作日，改造方案由投标单位现场踏勘后自行设计。</w:t>
      </w:r>
    </w:p>
    <w:p>
      <w:pPr>
        <w:pStyle w:val="4"/>
        <w:spacing w:line="360" w:lineRule="auto"/>
        <w:rPr>
          <w:rFonts w:hAnsi="宋体"/>
          <w:sz w:val="24"/>
          <w:szCs w:val="24"/>
        </w:rPr>
      </w:pPr>
      <w:r>
        <w:rPr>
          <w:rFonts w:hint="eastAsia" w:hAnsi="宋体"/>
          <w:sz w:val="24"/>
          <w:szCs w:val="24"/>
        </w:rPr>
        <w:t>三、功能需求：</w:t>
      </w:r>
    </w:p>
    <w:p>
      <w:pPr>
        <w:spacing w:line="360" w:lineRule="auto"/>
        <w:ind w:firstLine="480"/>
        <w:rPr>
          <w:rFonts w:ascii="宋体" w:cs="宋体"/>
          <w:sz w:val="24"/>
        </w:rPr>
      </w:pPr>
      <w:r>
        <w:rPr>
          <w:rFonts w:hint="eastAsia" w:ascii="宋体" w:hAnsi="宋体" w:cs="宋体"/>
          <w:sz w:val="24"/>
        </w:rPr>
        <w:t>根据宝龙购物中心实际情况、使用功能及安全防范管理的要求，监控系统采用网络高清监控解决方案，主要功能是对于公共区域、重点区域进行监控，使得管理人员在中心控制室内能观察重要地点的情况，对现场情况进行监视、记录，管理人员可以在权限范围内查看前端图像并对前端图像采集设备进行操控。监控图像根据要求进行可靠的存储，各级管理人员可以在权限范围内调用、查询。</w:t>
      </w:r>
    </w:p>
    <w:p>
      <w:pPr>
        <w:spacing w:line="360" w:lineRule="auto"/>
        <w:ind w:firstLine="480" w:firstLineChars="200"/>
        <w:rPr>
          <w:rFonts w:ascii="宋体" w:cs="宋体"/>
          <w:sz w:val="24"/>
        </w:rPr>
      </w:pPr>
      <w:r>
        <w:rPr>
          <w:rFonts w:hint="eastAsia" w:ascii="宋体" w:cs="宋体"/>
          <w:sz w:val="24"/>
        </w:rPr>
        <w:t>系统应具备如下功能：</w:t>
      </w:r>
    </w:p>
    <w:p>
      <w:pPr>
        <w:spacing w:line="360" w:lineRule="auto"/>
        <w:ind w:firstLine="480"/>
        <w:rPr>
          <w:rFonts w:ascii="宋体" w:cs="宋体"/>
          <w:sz w:val="24"/>
        </w:rPr>
      </w:pPr>
      <w:r>
        <w:rPr>
          <w:rFonts w:hint="eastAsia" w:ascii="宋体" w:cs="宋体"/>
          <w:sz w:val="24"/>
        </w:rPr>
        <w:t>⑴</w:t>
      </w:r>
      <w:r>
        <w:rPr>
          <w:rFonts w:hint="eastAsia" w:ascii="宋体" w:hAnsi="宋体" w:cs="宋体"/>
          <w:sz w:val="24"/>
        </w:rPr>
        <w:t>系统设计规范和技术要求严格执行国家及行业相关标准、规范。</w:t>
      </w:r>
    </w:p>
    <w:p>
      <w:pPr>
        <w:spacing w:line="360" w:lineRule="auto"/>
        <w:ind w:firstLine="480"/>
        <w:rPr>
          <w:rFonts w:ascii="宋体" w:cs="宋体"/>
          <w:sz w:val="24"/>
        </w:rPr>
      </w:pPr>
      <w:r>
        <w:rPr>
          <w:rFonts w:hint="eastAsia" w:ascii="宋体" w:cs="宋体"/>
          <w:sz w:val="24"/>
        </w:rPr>
        <w:t>⑵</w:t>
      </w:r>
      <w:r>
        <w:rPr>
          <w:rFonts w:hint="eastAsia" w:ascii="宋体" w:hAnsi="宋体" w:cs="宋体"/>
          <w:sz w:val="24"/>
        </w:rPr>
        <w:t>系统能自成网络，独立运行，任一个子系统的故障不应影响其他子系统的正常工作。</w:t>
      </w:r>
    </w:p>
    <w:p>
      <w:pPr>
        <w:spacing w:line="360" w:lineRule="auto"/>
        <w:ind w:firstLine="480"/>
        <w:rPr>
          <w:rFonts w:ascii="宋体" w:cs="宋体"/>
          <w:sz w:val="24"/>
        </w:rPr>
      </w:pPr>
      <w:r>
        <w:rPr>
          <w:rFonts w:hint="eastAsia" w:ascii="宋体" w:cs="宋体"/>
          <w:sz w:val="24"/>
        </w:rPr>
        <w:t>⑶</w:t>
      </w:r>
      <w:r>
        <w:rPr>
          <w:rFonts w:hint="eastAsia" w:ascii="宋体" w:hAnsi="宋体" w:cs="宋体"/>
          <w:sz w:val="24"/>
        </w:rPr>
        <w:t>各系统设备时钟必须保持同步，并具有自动校时功能，以保证总系统时间的一致性。系统内设备重新启动或网络中断后重新连通时，能够自动进行时钟同步。</w:t>
      </w:r>
    </w:p>
    <w:p>
      <w:pPr>
        <w:spacing w:line="360" w:lineRule="auto"/>
        <w:ind w:firstLine="480"/>
        <w:rPr>
          <w:rFonts w:ascii="宋体" w:cs="宋体"/>
          <w:sz w:val="24"/>
        </w:rPr>
      </w:pPr>
      <w:r>
        <w:rPr>
          <w:rFonts w:hint="eastAsia" w:ascii="宋体" w:cs="宋体"/>
          <w:sz w:val="24"/>
        </w:rPr>
        <w:t>⑷</w:t>
      </w:r>
      <w:r>
        <w:rPr>
          <w:rFonts w:hint="eastAsia" w:ascii="宋体" w:hAnsi="宋体" w:cs="宋体"/>
          <w:sz w:val="24"/>
        </w:rPr>
        <w:t>系统前端设备与技术（包括性能指标）的选用，应根据防护区域或部位的现场情况和重要程度确定，按照均衡布防的原则，建立点、线、面、空间或组合的综合防护系统。</w:t>
      </w:r>
    </w:p>
    <w:p>
      <w:pPr>
        <w:spacing w:line="360" w:lineRule="auto"/>
        <w:ind w:firstLine="480"/>
        <w:rPr>
          <w:rFonts w:ascii="宋体" w:cs="宋体"/>
          <w:sz w:val="24"/>
        </w:rPr>
      </w:pPr>
      <w:r>
        <w:rPr>
          <w:rFonts w:hint="eastAsia" w:ascii="宋体" w:cs="宋体"/>
          <w:sz w:val="24"/>
        </w:rPr>
        <w:t>⑸</w:t>
      </w:r>
      <w:r>
        <w:rPr>
          <w:rFonts w:hint="eastAsia" w:ascii="宋体" w:hAnsi="宋体" w:cs="宋体"/>
          <w:sz w:val="24"/>
        </w:rPr>
        <w:t>为满足高质量视频监控管理的需求，系统图像数字化、传输、存储、管理应构建在高质量的安防专网之上，采用开放的</w:t>
      </w:r>
      <w:r>
        <w:rPr>
          <w:rFonts w:ascii="宋体" w:hAnsi="宋体" w:cs="宋体"/>
          <w:sz w:val="24"/>
        </w:rPr>
        <w:t>IP</w:t>
      </w:r>
      <w:r>
        <w:rPr>
          <w:rFonts w:hint="eastAsia" w:ascii="宋体" w:hAnsi="宋体" w:cs="宋体"/>
          <w:sz w:val="24"/>
        </w:rPr>
        <w:t>架构、基于全</w:t>
      </w:r>
      <w:r>
        <w:rPr>
          <w:rFonts w:ascii="宋体" w:hAnsi="宋体" w:cs="宋体"/>
          <w:sz w:val="24"/>
        </w:rPr>
        <w:t>IP</w:t>
      </w:r>
      <w:r>
        <w:rPr>
          <w:rFonts w:hint="eastAsia" w:ascii="宋体" w:hAnsi="宋体" w:cs="宋体"/>
          <w:sz w:val="24"/>
        </w:rPr>
        <w:t>软交换技术实现所有业务流的交换分发，实现控制信令与视频交换承载网络相分离，符合下一代网络架构展的趋势。</w:t>
      </w:r>
    </w:p>
    <w:p>
      <w:pPr>
        <w:spacing w:line="360" w:lineRule="auto"/>
        <w:ind w:firstLine="480"/>
        <w:rPr>
          <w:rFonts w:ascii="宋体" w:hAnsi="宋体" w:cs="宋体"/>
          <w:sz w:val="24"/>
        </w:rPr>
      </w:pPr>
      <w:r>
        <w:rPr>
          <w:rFonts w:hint="eastAsia" w:ascii="宋体" w:cs="宋体"/>
          <w:sz w:val="24"/>
        </w:rPr>
        <w:t>⑹</w:t>
      </w:r>
      <w:r>
        <w:rPr>
          <w:rFonts w:hint="eastAsia" w:ascii="宋体" w:hAnsi="宋体" w:cs="宋体"/>
          <w:sz w:val="24"/>
        </w:rPr>
        <w:t>安防视频监控主要设备必须支持</w:t>
      </w:r>
      <w:r>
        <w:rPr>
          <w:rFonts w:ascii="宋体" w:hAnsi="宋体" w:cs="宋体"/>
          <w:sz w:val="24"/>
        </w:rPr>
        <w:t>GB/T 28181-2011</w:t>
      </w:r>
      <w:r>
        <w:rPr>
          <w:rFonts w:hint="eastAsia" w:ascii="宋体" w:hAnsi="宋体" w:cs="宋体"/>
          <w:sz w:val="24"/>
        </w:rPr>
        <w:t>标准，系统维保的须遵循</w:t>
      </w:r>
      <w:r>
        <w:rPr>
          <w:rFonts w:ascii="宋体" w:hAnsi="宋体" w:cs="宋体"/>
          <w:sz w:val="24"/>
        </w:rPr>
        <w:t>DB33/T 2134-2014</w:t>
      </w:r>
      <w:r>
        <w:rPr>
          <w:rFonts w:hint="eastAsia" w:ascii="宋体" w:hAnsi="宋体" w:cs="宋体"/>
          <w:sz w:val="24"/>
        </w:rPr>
        <w:t>等标准。</w:t>
      </w:r>
    </w:p>
    <w:p>
      <w:pPr>
        <w:spacing w:line="360" w:lineRule="auto"/>
        <w:ind w:firstLine="480"/>
        <w:rPr>
          <w:rFonts w:ascii="宋体" w:hAnsi="宋体" w:cs="宋体"/>
          <w:sz w:val="24"/>
        </w:rPr>
      </w:pPr>
    </w:p>
    <w:p>
      <w:pPr>
        <w:spacing w:line="360" w:lineRule="auto"/>
        <w:ind w:firstLine="420"/>
        <w:rPr>
          <w:rFonts w:ascii="宋体" w:hAnsi="宋体"/>
          <w:b/>
          <w:bCs/>
          <w:sz w:val="24"/>
        </w:rPr>
      </w:pPr>
      <w:r>
        <w:rPr>
          <w:rFonts w:hint="eastAsia" w:ascii="宋体" w:hAnsi="宋体"/>
          <w:b/>
          <w:bCs/>
          <w:sz w:val="24"/>
        </w:rPr>
        <w:t>视频监控系统的设备清单:</w:t>
      </w:r>
    </w:p>
    <w:p>
      <w:pPr>
        <w:spacing w:line="360" w:lineRule="auto"/>
        <w:ind w:firstLine="420"/>
        <w:rPr>
          <w:rFonts w:ascii="宋体" w:hAnsi="宋体"/>
          <w:b/>
          <w:bCs/>
          <w:sz w:val="24"/>
        </w:rPr>
      </w:pPr>
      <w:r>
        <w:rPr>
          <w:rFonts w:hint="eastAsia" w:ascii="宋体" w:hAnsi="宋体"/>
          <w:b/>
          <w:bCs/>
          <w:sz w:val="24"/>
        </w:rPr>
        <w:t>清单说明：</w:t>
      </w:r>
    </w:p>
    <w:p>
      <w:pPr>
        <w:spacing w:line="360" w:lineRule="auto"/>
        <w:ind w:left="456" w:leftChars="217"/>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本次招标清单设有推荐品牌，投标人可任选其一投标，亦可选择不低于推荐品牌技术参数标准的其它品牌投标。采用其它品牌的应在投标文件中，作出详细说明，包括但不限于相关技术参数、工艺标准、业绩等信息，以供评委会评审，否则将可能视为无效投标。</w:t>
      </w:r>
    </w:p>
    <w:p>
      <w:pPr>
        <w:numPr>
          <w:ilvl w:val="0"/>
          <w:numId w:val="2"/>
        </w:numPr>
        <w:spacing w:line="360" w:lineRule="auto"/>
        <w:ind w:left="19" w:leftChars="9" w:firstLine="499" w:firstLineChars="208"/>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投标人所投产品，均为符合或高于下列清单参数、性能的原厂原包装全新产品。</w:t>
      </w:r>
      <w:r>
        <w:rPr>
          <w:rFonts w:hint="eastAsia" w:asciiTheme="minorEastAsia" w:hAnsiTheme="minorEastAsia" w:eastAsiaTheme="minorEastAsia" w:cstheme="minorEastAsia"/>
          <w:sz w:val="24"/>
        </w:rPr>
        <w:t>凡规格参数中带★项的，必须提供官网截图、型式报告、原厂证明等有效证明材料，且必须与投标文件一起递交，无法提供上述材料、提供虚假证明的作为废标处理。</w:t>
      </w:r>
    </w:p>
    <w:p>
      <w:pPr>
        <w:numPr>
          <w:ilvl w:val="0"/>
          <w:numId w:val="2"/>
        </w:numPr>
        <w:spacing w:line="440" w:lineRule="exact"/>
        <w:ind w:left="19" w:leftChars="9" w:firstLine="499" w:firstLineChars="208"/>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shd w:val="clear" w:color="auto" w:fill="FDFFFB"/>
        </w:rPr>
        <w:t>合同签订前中标人须</w:t>
      </w:r>
      <w:r>
        <w:rPr>
          <w:rFonts w:hint="eastAsia" w:asciiTheme="minorEastAsia" w:hAnsiTheme="minorEastAsia" w:eastAsiaTheme="minorEastAsia" w:cstheme="minorEastAsia"/>
          <w:kern w:val="0"/>
          <w:sz w:val="24"/>
        </w:rPr>
        <w:t>提供主要设备原厂商针对本项目的《授权函》和《售后服务承诺函》原件</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kern w:val="0"/>
          <w:sz w:val="24"/>
        </w:rPr>
        <w:t>所供产品必须是所列品牌的原装正牌产品，并享有其应有的售后服务；</w:t>
      </w:r>
    </w:p>
    <w:p>
      <w:pPr>
        <w:spacing w:line="440" w:lineRule="exact"/>
        <w:rPr>
          <w:rFonts w:asciiTheme="minorEastAsia" w:hAnsiTheme="minorEastAsia" w:eastAsiaTheme="minorEastAsia" w:cstheme="minorEastAsia"/>
          <w:kern w:val="0"/>
          <w:sz w:val="24"/>
        </w:rPr>
      </w:pPr>
    </w:p>
    <w:p>
      <w:pPr>
        <w:spacing w:line="440" w:lineRule="exact"/>
        <w:rPr>
          <w:rFonts w:asciiTheme="minorEastAsia" w:hAnsiTheme="minorEastAsia" w:eastAsiaTheme="minorEastAsia" w:cstheme="minorEastAsia"/>
          <w:kern w:val="0"/>
          <w:sz w:val="24"/>
        </w:rPr>
      </w:pPr>
    </w:p>
    <w:p>
      <w:pPr>
        <w:spacing w:line="360" w:lineRule="auto"/>
        <w:ind w:left="456" w:leftChars="217"/>
        <w:rPr>
          <w:sz w:val="24"/>
        </w:rPr>
      </w:pPr>
    </w:p>
    <w:p>
      <w:pPr>
        <w:spacing w:line="360" w:lineRule="auto"/>
        <w:ind w:left="456" w:leftChars="217"/>
        <w:rPr>
          <w:sz w:val="24"/>
        </w:rPr>
      </w:pPr>
    </w:p>
    <w:p>
      <w:pPr>
        <w:spacing w:line="360" w:lineRule="auto"/>
        <w:ind w:left="456" w:leftChars="217"/>
        <w:rPr>
          <w:sz w:val="24"/>
        </w:rPr>
      </w:pPr>
    </w:p>
    <w:tbl>
      <w:tblPr>
        <w:tblStyle w:val="25"/>
        <w:tblW w:w="5000" w:type="pct"/>
        <w:tblInd w:w="0" w:type="dxa"/>
        <w:tblLayout w:type="autofit"/>
        <w:tblCellMar>
          <w:top w:w="0" w:type="dxa"/>
          <w:left w:w="108" w:type="dxa"/>
          <w:bottom w:w="0" w:type="dxa"/>
          <w:right w:w="108" w:type="dxa"/>
        </w:tblCellMar>
      </w:tblPr>
      <w:tblGrid>
        <w:gridCol w:w="699"/>
        <w:gridCol w:w="1219"/>
        <w:gridCol w:w="1166"/>
        <w:gridCol w:w="5429"/>
        <w:gridCol w:w="628"/>
        <w:gridCol w:w="821"/>
      </w:tblGrid>
      <w:tr>
        <w:tblPrEx>
          <w:tblCellMar>
            <w:top w:w="0" w:type="dxa"/>
            <w:left w:w="108" w:type="dxa"/>
            <w:bottom w:w="0" w:type="dxa"/>
            <w:right w:w="108" w:type="dxa"/>
          </w:tblCellMar>
        </w:tblPrEx>
        <w:trPr>
          <w:trHeight w:val="540" w:hRule="atLeast"/>
        </w:trPr>
        <w:tc>
          <w:tcPr>
            <w:tcW w:w="351" w:type="pct"/>
            <w:tcBorders>
              <w:top w:val="single" w:color="auto" w:sz="8" w:space="0"/>
              <w:left w:val="single" w:color="auto" w:sz="8" w:space="0"/>
              <w:bottom w:val="single" w:color="auto" w:sz="4" w:space="0"/>
              <w:right w:val="single" w:color="auto" w:sz="4" w:space="0"/>
            </w:tcBorders>
            <w:shd w:val="clear" w:color="000000" w:fill="FFFFFF"/>
            <w:noWrap/>
            <w:vAlign w:val="center"/>
          </w:tcPr>
          <w:p>
            <w:pPr>
              <w:widowControl/>
              <w:jc w:val="center"/>
              <w:rPr>
                <w:rFonts w:ascii="宋体" w:hAnsi="宋体" w:cs="宋体"/>
                <w:b/>
                <w:bCs/>
                <w:kern w:val="0"/>
                <w:sz w:val="24"/>
              </w:rPr>
            </w:pPr>
            <w:r>
              <w:rPr>
                <w:rFonts w:hint="eastAsia" w:ascii="宋体" w:hAnsi="宋体" w:cs="宋体"/>
                <w:b/>
                <w:bCs/>
                <w:kern w:val="0"/>
                <w:sz w:val="24"/>
              </w:rPr>
              <w:t>序号</w:t>
            </w:r>
          </w:p>
        </w:tc>
        <w:tc>
          <w:tcPr>
            <w:tcW w:w="612" w:type="pct"/>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名 称</w:t>
            </w:r>
          </w:p>
        </w:tc>
        <w:tc>
          <w:tcPr>
            <w:tcW w:w="585" w:type="pct"/>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推荐</w:t>
            </w:r>
          </w:p>
          <w:p>
            <w:pPr>
              <w:widowControl/>
              <w:jc w:val="center"/>
              <w:rPr>
                <w:rFonts w:ascii="宋体" w:hAnsi="宋体" w:cs="宋体"/>
                <w:b/>
                <w:bCs/>
                <w:kern w:val="0"/>
                <w:sz w:val="24"/>
              </w:rPr>
            </w:pPr>
            <w:r>
              <w:rPr>
                <w:rFonts w:hint="eastAsia" w:ascii="宋体" w:hAnsi="宋体" w:cs="宋体"/>
                <w:b/>
                <w:bCs/>
                <w:kern w:val="0"/>
                <w:sz w:val="24"/>
              </w:rPr>
              <w:t>品牌</w:t>
            </w:r>
          </w:p>
        </w:tc>
        <w:tc>
          <w:tcPr>
            <w:tcW w:w="2725" w:type="pct"/>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参数</w:t>
            </w:r>
          </w:p>
        </w:tc>
        <w:tc>
          <w:tcPr>
            <w:tcW w:w="315" w:type="pct"/>
            <w:tcBorders>
              <w:top w:val="single" w:color="auto" w:sz="8"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单位</w:t>
            </w:r>
          </w:p>
        </w:tc>
        <w:tc>
          <w:tcPr>
            <w:tcW w:w="414" w:type="pct"/>
            <w:tcBorders>
              <w:top w:val="single" w:color="auto" w:sz="8" w:space="0"/>
              <w:left w:val="nil"/>
              <w:bottom w:val="single" w:color="auto" w:sz="4" w:space="0"/>
              <w:right w:val="single" w:color="auto" w:sz="8"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数量</w:t>
            </w:r>
          </w:p>
        </w:tc>
      </w:tr>
      <w:tr>
        <w:tblPrEx>
          <w:tblCellMar>
            <w:top w:w="0" w:type="dxa"/>
            <w:left w:w="108" w:type="dxa"/>
            <w:bottom w:w="0" w:type="dxa"/>
            <w:right w:w="108" w:type="dxa"/>
          </w:tblCellMar>
        </w:tblPrEx>
        <w:trPr>
          <w:trHeight w:val="4860"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1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红外半球网络摄像机（室内）</w:t>
            </w:r>
          </w:p>
        </w:tc>
        <w:tc>
          <w:tcPr>
            <w:tcW w:w="585"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海康威视、大华、英飞拓</w:t>
            </w: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1、具有200W像素 CMOS传感器。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2、在1920x1080 @25fps下，码率设定为1Mbps，RJ45输出，清晰度不小于1000TVL。</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3、★支持滤光片切换功能，摄像机可在彩色/黑白模式下自动切换滤光片。（公安部检验报告证明）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4、最低照度彩色：0.005lx，黑白：0.0005 lx。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5、支持H.265、H.264、MJPEG视频编码格式，其中H.265和H.264都支持Baseline/Main/High Profile。</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6、支持五码流技术，五码流可同时输出，主码流最大1920x1080@30fps，第二码流最大704x480@30fps，第三码流最大1920x1080 @30fps，第四码流最大704x480@30fps，第五码流最大1920x1080@30fps。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7、★支持帧率动态控制功能，当触发报警时，视频录像帧率应自动调整至设定值。（公安部检验报告证明）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8、在1920x1080 @30fps下，码率设定为1Mbps，图像传输延时≤185ms。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9、支持智能编码功能，摄像机开启智能编码功能后，码流节约1/2。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10、★支持最多同时开启25个视频窗口进行画面浏览。（公安部检验报告证明）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11、★支持20行字符叠加，字体大小、颜色、对齐方式可设。（公安部检验报告证明）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12、支持IP地址搜索功能。（公安部检验报告证明）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13、★在IE浏览器下，具有平台接入配置选项。（公安部检验报告证明）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14、支持匿名访问功能，用户无输入用户名和密码即能浏览视频图像。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15、★具有黑白名单功能，黑白名单最多可添加100个IP地址。（公安部检验报告证明）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16、具备拌线入侵、区域入侵、徘徊、停车、快速移动、人员聚集、物体遗留/消失、进入/离开区等智能行为分析功能。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17、★支持场景参数设置，可设置3套场景参数，不同场景参数可按时间自动切换。（公安部检验报告证明)</w:t>
            </w:r>
            <w:r>
              <w:rPr>
                <w:rFonts w:hint="eastAsia" w:ascii="宋体" w:hAnsi="宋体" w:cs="宋体"/>
                <w:color w:val="000000"/>
                <w:kern w:val="0"/>
                <w:sz w:val="20"/>
                <w:szCs w:val="20"/>
              </w:rPr>
              <w:br w:type="textWrapping"/>
            </w:r>
            <w:r>
              <w:rPr>
                <w:rFonts w:hint="eastAsia" w:ascii="宋体" w:hAnsi="宋体" w:cs="宋体"/>
                <w:b/>
                <w:bCs/>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144</w:t>
            </w:r>
          </w:p>
        </w:tc>
      </w:tr>
      <w:tr>
        <w:tblPrEx>
          <w:tblCellMar>
            <w:top w:w="0" w:type="dxa"/>
            <w:left w:w="108" w:type="dxa"/>
            <w:bottom w:w="0" w:type="dxa"/>
            <w:right w:w="108" w:type="dxa"/>
          </w:tblCellMar>
        </w:tblPrEx>
        <w:trPr>
          <w:trHeight w:val="287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2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红外半球网络摄像机（电梯内）</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kern w:val="0"/>
                <w:sz w:val="20"/>
                <w:szCs w:val="20"/>
              </w:rPr>
            </w:pPr>
            <w:r>
              <w:rPr>
                <w:rFonts w:hint="eastAsia" w:ascii="宋体" w:hAnsi="宋体" w:cs="宋体"/>
                <w:kern w:val="0"/>
                <w:sz w:val="20"/>
                <w:szCs w:val="20"/>
              </w:rPr>
              <w:t>1、具有200W像素CMOS传感器；在1920x1080 @25fps下，码率设定为1Mbps，RJ45输出，清晰度不小于1000TVL。</w:t>
            </w:r>
            <w:r>
              <w:rPr>
                <w:rFonts w:hint="eastAsia" w:ascii="宋体" w:hAnsi="宋体" w:cs="宋体"/>
                <w:kern w:val="0"/>
                <w:sz w:val="20"/>
                <w:szCs w:val="20"/>
              </w:rPr>
              <w:br w:type="textWrapping"/>
            </w:r>
            <w:r>
              <w:rPr>
                <w:rFonts w:hint="eastAsia" w:ascii="宋体" w:hAnsi="宋体" w:cs="宋体"/>
                <w:kern w:val="0"/>
                <w:sz w:val="20"/>
                <w:szCs w:val="20"/>
              </w:rPr>
              <w:t>2、支持滤光片切换功能，摄像机可在彩色/黑白模式下自动切换滤光片。</w:t>
            </w:r>
            <w:r>
              <w:rPr>
                <w:rFonts w:hint="eastAsia" w:ascii="宋体" w:hAnsi="宋体" w:cs="宋体"/>
                <w:kern w:val="0"/>
                <w:sz w:val="20"/>
                <w:szCs w:val="20"/>
              </w:rPr>
              <w:br w:type="textWrapping"/>
            </w:r>
            <w:r>
              <w:rPr>
                <w:rFonts w:hint="eastAsia" w:ascii="宋体" w:hAnsi="宋体" w:cs="宋体"/>
                <w:kern w:val="0"/>
                <w:sz w:val="20"/>
                <w:szCs w:val="20"/>
              </w:rPr>
              <w:t>3、最低照度彩色：0.005lx，黑白：0.0005 lx。</w:t>
            </w:r>
            <w:r>
              <w:rPr>
                <w:rFonts w:hint="eastAsia" w:ascii="宋体" w:hAnsi="宋体" w:cs="宋体"/>
                <w:kern w:val="0"/>
                <w:sz w:val="20"/>
                <w:szCs w:val="20"/>
              </w:rPr>
              <w:br w:type="textWrapping"/>
            </w:r>
            <w:r>
              <w:rPr>
                <w:rFonts w:hint="eastAsia" w:ascii="宋体" w:hAnsi="宋体" w:cs="宋体"/>
                <w:kern w:val="0"/>
                <w:sz w:val="20"/>
                <w:szCs w:val="20"/>
              </w:rPr>
              <w:t>4、支持H.265、H.264、MJPEG视频编码格式，其中H.265和H.264都支持Baseline/Main/High Profile。</w:t>
            </w:r>
            <w:r>
              <w:rPr>
                <w:rFonts w:hint="eastAsia" w:ascii="宋体" w:hAnsi="宋体" w:cs="宋体"/>
                <w:kern w:val="0"/>
                <w:sz w:val="20"/>
                <w:szCs w:val="20"/>
              </w:rPr>
              <w:br w:type="textWrapping"/>
            </w:r>
            <w:r>
              <w:rPr>
                <w:rFonts w:hint="eastAsia" w:ascii="宋体" w:hAnsi="宋体" w:cs="宋体"/>
                <w:kern w:val="0"/>
                <w:sz w:val="20"/>
                <w:szCs w:val="20"/>
              </w:rPr>
              <w:t>5、支持五码流技术，五码流可同时输出，主码流最大1920x1080@30fps，第二码流最大704x480@30fps，第三码流最大1920x1080 @30fps，第四码流最大704x480@30fps，第五码流最大1920x1080@30fps。</w:t>
            </w:r>
            <w:r>
              <w:rPr>
                <w:rFonts w:hint="eastAsia" w:ascii="宋体" w:hAnsi="宋体" w:cs="宋体"/>
                <w:kern w:val="0"/>
                <w:sz w:val="20"/>
                <w:szCs w:val="20"/>
              </w:rPr>
              <w:br w:type="textWrapping"/>
            </w:r>
            <w:r>
              <w:rPr>
                <w:rFonts w:hint="eastAsia" w:ascii="宋体" w:hAnsi="宋体" w:cs="宋体"/>
                <w:kern w:val="0"/>
                <w:sz w:val="20"/>
                <w:szCs w:val="20"/>
              </w:rPr>
              <w:t>6、支持帧率动态控制功能，当触发报警时，视频录像帧率应自动调整至设定值。</w:t>
            </w:r>
            <w:r>
              <w:rPr>
                <w:rFonts w:hint="eastAsia" w:ascii="宋体" w:hAnsi="宋体" w:cs="宋体"/>
                <w:kern w:val="0"/>
                <w:sz w:val="20"/>
                <w:szCs w:val="20"/>
              </w:rPr>
              <w:br w:type="textWrapping"/>
            </w:r>
            <w:r>
              <w:rPr>
                <w:rFonts w:hint="eastAsia" w:ascii="宋体" w:hAnsi="宋体" w:cs="宋体"/>
                <w:kern w:val="0"/>
                <w:sz w:val="20"/>
                <w:szCs w:val="20"/>
              </w:rPr>
              <w:t>7、在1920x1080 @30fps下，码率设定为1Mbps，图像传输延时≤185ms。</w:t>
            </w:r>
            <w:r>
              <w:rPr>
                <w:rFonts w:hint="eastAsia" w:ascii="宋体" w:hAnsi="宋体" w:cs="宋体"/>
                <w:kern w:val="0"/>
                <w:sz w:val="20"/>
                <w:szCs w:val="20"/>
              </w:rPr>
              <w:br w:type="textWrapping"/>
            </w:r>
            <w:r>
              <w:rPr>
                <w:rFonts w:hint="eastAsia" w:ascii="宋体" w:hAnsi="宋体" w:cs="宋体"/>
                <w:kern w:val="0"/>
                <w:sz w:val="20"/>
                <w:szCs w:val="20"/>
              </w:rPr>
              <w:t>8、支持智能编码功能，摄像机开启智能编码功能后，码流节约1/2。</w:t>
            </w:r>
            <w:r>
              <w:rPr>
                <w:rFonts w:hint="eastAsia" w:ascii="宋体" w:hAnsi="宋体" w:cs="宋体"/>
                <w:kern w:val="0"/>
                <w:sz w:val="20"/>
                <w:szCs w:val="20"/>
              </w:rPr>
              <w:br w:type="textWrapping"/>
            </w:r>
            <w:r>
              <w:rPr>
                <w:rFonts w:hint="eastAsia" w:ascii="宋体" w:hAnsi="宋体" w:cs="宋体"/>
                <w:kern w:val="0"/>
                <w:sz w:val="20"/>
                <w:szCs w:val="20"/>
              </w:rPr>
              <w:t xml:space="preserve">9、信噪比不小于55.1dB；照度适应范围不小于130dB。   </w:t>
            </w:r>
            <w:r>
              <w:rPr>
                <w:rFonts w:hint="eastAsia" w:ascii="宋体" w:hAnsi="宋体" w:cs="宋体"/>
                <w:kern w:val="0"/>
                <w:sz w:val="20"/>
                <w:szCs w:val="20"/>
              </w:rPr>
              <w:br w:type="textWrapping"/>
            </w:r>
            <w:r>
              <w:rPr>
                <w:rFonts w:hint="eastAsia" w:ascii="宋体" w:hAnsi="宋体" w:cs="宋体"/>
                <w:kern w:val="0"/>
                <w:sz w:val="20"/>
                <w:szCs w:val="20"/>
              </w:rPr>
              <w:t>10、支持最多同时开启25个视频窗口进行画面浏览。</w:t>
            </w:r>
            <w:r>
              <w:rPr>
                <w:rFonts w:hint="eastAsia" w:ascii="宋体" w:hAnsi="宋体" w:cs="宋体"/>
                <w:kern w:val="0"/>
                <w:sz w:val="20"/>
                <w:szCs w:val="20"/>
              </w:rPr>
              <w:br w:type="textWrapping"/>
            </w:r>
            <w:r>
              <w:rPr>
                <w:rFonts w:hint="eastAsia" w:ascii="宋体" w:hAnsi="宋体" w:cs="宋体"/>
                <w:kern w:val="0"/>
                <w:sz w:val="20"/>
                <w:szCs w:val="20"/>
              </w:rPr>
              <w:t>11、支持20行字符叠加，字体大小、颜色、对齐方式可设；支持区域遮盖功能，并能支持8块区域。</w:t>
            </w:r>
            <w:r>
              <w:rPr>
                <w:rFonts w:hint="eastAsia" w:ascii="宋体" w:hAnsi="宋体" w:cs="宋体"/>
                <w:kern w:val="0"/>
                <w:sz w:val="20"/>
                <w:szCs w:val="20"/>
              </w:rPr>
              <w:br w:type="textWrapping"/>
            </w:r>
            <w:r>
              <w:rPr>
                <w:rFonts w:hint="eastAsia" w:ascii="宋体" w:hAnsi="宋体" w:cs="宋体"/>
                <w:kern w:val="0"/>
                <w:sz w:val="20"/>
                <w:szCs w:val="20"/>
              </w:rPr>
              <w:t xml:space="preserve">12、支持IP地址搜索功能；在IE浏览器下，具有平台接入配置选项。  </w:t>
            </w:r>
            <w:r>
              <w:rPr>
                <w:rFonts w:hint="eastAsia" w:ascii="宋体" w:hAnsi="宋体" w:cs="宋体"/>
                <w:kern w:val="0"/>
                <w:sz w:val="20"/>
                <w:szCs w:val="20"/>
              </w:rPr>
              <w:br w:type="textWrapping"/>
            </w:r>
            <w:r>
              <w:rPr>
                <w:rFonts w:hint="eastAsia" w:ascii="宋体" w:hAnsi="宋体" w:cs="宋体"/>
                <w:kern w:val="0"/>
                <w:sz w:val="20"/>
                <w:szCs w:val="20"/>
              </w:rPr>
              <w:t>13、在IE浏览器下，具有认证模式设置选项，且RTSP认证具有basic和digest两种设置选项。</w:t>
            </w:r>
            <w:r>
              <w:rPr>
                <w:rFonts w:hint="eastAsia" w:ascii="宋体" w:hAnsi="宋体" w:cs="宋体"/>
                <w:kern w:val="0"/>
                <w:sz w:val="20"/>
                <w:szCs w:val="20"/>
              </w:rPr>
              <w:br w:type="textWrapping"/>
            </w:r>
            <w:r>
              <w:rPr>
                <w:rFonts w:hint="eastAsia" w:ascii="宋体" w:hAnsi="宋体" w:cs="宋体"/>
                <w:kern w:val="0"/>
                <w:sz w:val="20"/>
                <w:szCs w:val="20"/>
              </w:rPr>
              <w:t>14、支持匿名访问功能，用户无输入用户名和密码即能浏览视频图像。</w:t>
            </w:r>
            <w:r>
              <w:rPr>
                <w:rFonts w:hint="eastAsia" w:ascii="宋体" w:hAnsi="宋体" w:cs="宋体"/>
                <w:kern w:val="0"/>
                <w:sz w:val="20"/>
                <w:szCs w:val="20"/>
              </w:rPr>
              <w:br w:type="textWrapping"/>
            </w:r>
            <w:r>
              <w:rPr>
                <w:rFonts w:hint="eastAsia" w:ascii="宋体" w:hAnsi="宋体" w:cs="宋体"/>
                <w:kern w:val="0"/>
                <w:sz w:val="20"/>
                <w:szCs w:val="20"/>
              </w:rPr>
              <w:t>15、具有黑白名单功能，黑白名单最多可添加100个IP地址；支持MAC地址访问控制功能，可添加100个MAC地址。</w:t>
            </w:r>
            <w:r>
              <w:rPr>
                <w:rFonts w:hint="eastAsia" w:ascii="宋体" w:hAnsi="宋体" w:cs="宋体"/>
                <w:kern w:val="0"/>
                <w:sz w:val="20"/>
                <w:szCs w:val="20"/>
              </w:rPr>
              <w:br w:type="textWrapping"/>
            </w:r>
            <w:r>
              <w:rPr>
                <w:rFonts w:hint="eastAsia" w:ascii="宋体" w:hAnsi="宋体" w:cs="宋体"/>
                <w:kern w:val="0"/>
                <w:sz w:val="20"/>
                <w:szCs w:val="20"/>
              </w:rPr>
              <w:t xml:space="preserve">16、具备拌线入侵、区域入侵、徘徊、停车、快速移动、人员聚集、物体遗留/消失、进入/离开区等智能行为分析功能。 </w:t>
            </w:r>
            <w:r>
              <w:rPr>
                <w:rFonts w:hint="eastAsia" w:ascii="宋体" w:hAnsi="宋体" w:cs="宋体"/>
                <w:kern w:val="0"/>
                <w:sz w:val="20"/>
                <w:szCs w:val="20"/>
              </w:rPr>
              <w:br w:type="textWrapping"/>
            </w:r>
            <w:r>
              <w:rPr>
                <w:rFonts w:hint="eastAsia" w:ascii="宋体" w:hAnsi="宋体" w:cs="宋体"/>
                <w:kern w:val="0"/>
                <w:sz w:val="20"/>
                <w:szCs w:val="20"/>
              </w:rPr>
              <w:t>17、支持场景参数设置，可设置3套场景参数，不同场景参数可按时间自动切换。</w:t>
            </w:r>
            <w:r>
              <w:rPr>
                <w:rFonts w:hint="eastAsia" w:ascii="宋体" w:hAnsi="宋体" w:cs="宋体"/>
                <w:kern w:val="0"/>
                <w:sz w:val="20"/>
                <w:szCs w:val="20"/>
              </w:rPr>
              <w:br w:type="textWrapping"/>
            </w:r>
            <w:r>
              <w:rPr>
                <w:rFonts w:hint="eastAsia" w:ascii="宋体" w:hAnsi="宋体" w:cs="宋体"/>
                <w:kern w:val="0"/>
                <w:sz w:val="20"/>
                <w:szCs w:val="20"/>
              </w:rPr>
              <w:t>18、支持日志检索功能，摄像机支持记录7种日志信息，并可在IE浏览器下进行日志检索。</w:t>
            </w:r>
            <w:r>
              <w:rPr>
                <w:rFonts w:hint="eastAsia" w:ascii="宋体" w:hAnsi="宋体" w:cs="宋体"/>
                <w:kern w:val="0"/>
                <w:sz w:val="20"/>
                <w:szCs w:val="20"/>
              </w:rPr>
              <w:br w:type="textWrapping"/>
            </w:r>
            <w:r>
              <w:rPr>
                <w:rFonts w:hint="eastAsia" w:ascii="宋体" w:hAnsi="宋体" w:cs="宋体"/>
                <w:kern w:val="0"/>
                <w:sz w:val="20"/>
                <w:szCs w:val="20"/>
              </w:rPr>
              <w:t>19、支持配置保存功能，摄像机掉电或重启后应能保存掉电或重启前的配置信息；支持区域裁剪功能，裁剪后的视频图像分辨率可设置为704x480；支持自动维护 功能，摄像机可根据设置时间自动重启系统或删除旧文件。</w:t>
            </w:r>
            <w:r>
              <w:rPr>
                <w:rFonts w:hint="eastAsia" w:ascii="宋体" w:hAnsi="宋体" w:cs="宋体"/>
                <w:kern w:val="0"/>
                <w:sz w:val="20"/>
                <w:szCs w:val="20"/>
              </w:rPr>
              <w:br w:type="textWrapping"/>
            </w:r>
            <w:r>
              <w:rPr>
                <w:rFonts w:hint="eastAsia" w:ascii="宋体" w:hAnsi="宋体" w:cs="宋体"/>
                <w:kern w:val="0"/>
                <w:sz w:val="20"/>
                <w:szCs w:val="20"/>
              </w:rPr>
              <w:t>20、摄像机具有非法访问、网络断开、IP冲突报警设置选项。</w:t>
            </w:r>
            <w:r>
              <w:rPr>
                <w:rFonts w:hint="eastAsia" w:ascii="宋体" w:hAnsi="宋体" w:cs="宋体"/>
                <w:kern w:val="0"/>
                <w:sz w:val="20"/>
                <w:szCs w:val="20"/>
              </w:rPr>
              <w:br w:type="textWrapping"/>
            </w:r>
            <w:r>
              <w:rPr>
                <w:rFonts w:hint="eastAsia" w:ascii="宋体" w:hAnsi="宋体" w:cs="宋体"/>
                <w:kern w:val="0"/>
                <w:sz w:val="20"/>
                <w:szCs w:val="20"/>
              </w:rPr>
              <w:t>21、支持轻存储设置功能，在IE浏览器下，具有存储空间开启/关闭选项，功能开启后，样机有3种模式显示存储卡剩余存储时长及录像帧率。</w:t>
            </w:r>
            <w:r>
              <w:rPr>
                <w:rFonts w:hint="eastAsia" w:ascii="宋体" w:hAnsi="宋体" w:cs="宋体"/>
                <w:kern w:val="0"/>
                <w:sz w:val="20"/>
                <w:szCs w:val="20"/>
              </w:rPr>
              <w:br w:type="textWrapping"/>
            </w:r>
            <w:r>
              <w:rPr>
                <w:rFonts w:hint="eastAsia" w:ascii="宋体" w:hAnsi="宋体" w:cs="宋体"/>
                <w:kern w:val="0"/>
                <w:sz w:val="20"/>
                <w:szCs w:val="20"/>
              </w:rPr>
              <w:t>22、具有区域曝光、背光补偿、强光抑制、自动增益、数字降噪、透雾、走廊模式、SVC、感兴趣区域、断网续传、断电保护等功能。</w:t>
            </w:r>
            <w:r>
              <w:rPr>
                <w:rFonts w:hint="eastAsia" w:ascii="宋体" w:hAnsi="宋体" w:cs="宋体"/>
                <w:kern w:val="0"/>
                <w:sz w:val="20"/>
                <w:szCs w:val="20"/>
              </w:rPr>
              <w:br w:type="textWrapping"/>
            </w:r>
            <w:r>
              <w:rPr>
                <w:rFonts w:hint="eastAsia" w:ascii="宋体" w:hAnsi="宋体" w:cs="宋体"/>
                <w:kern w:val="0"/>
                <w:sz w:val="20"/>
                <w:szCs w:val="20"/>
              </w:rPr>
              <w:t>23、在音频编码格式设置为PCM、G.711、AAC时，采样频率可设置为8~96KHz；视音频失步时间不大于1秒。</w:t>
            </w:r>
            <w:r>
              <w:rPr>
                <w:rFonts w:hint="eastAsia" w:ascii="宋体" w:hAnsi="宋体" w:cs="宋体"/>
                <w:kern w:val="0"/>
                <w:sz w:val="20"/>
                <w:szCs w:val="20"/>
              </w:rPr>
              <w:br w:type="textWrapping"/>
            </w:r>
            <w:r>
              <w:rPr>
                <w:rFonts w:hint="eastAsia" w:ascii="宋体" w:hAnsi="宋体" w:cs="宋体"/>
                <w:kern w:val="0"/>
                <w:sz w:val="20"/>
                <w:szCs w:val="20"/>
              </w:rPr>
              <w:t xml:space="preserve">24、摄像机能够在-45~70摄氏度，湿度小于93%环境下稳定工作；支持IP67防尘防水等级。  </w:t>
            </w:r>
            <w:r>
              <w:rPr>
                <w:rFonts w:hint="eastAsia" w:ascii="宋体" w:hAnsi="宋体" w:cs="宋体"/>
                <w:kern w:val="0"/>
                <w:sz w:val="20"/>
                <w:szCs w:val="20"/>
              </w:rPr>
              <w:br w:type="textWrapping"/>
            </w:r>
            <w:r>
              <w:rPr>
                <w:rFonts w:hint="eastAsia" w:ascii="宋体" w:hAnsi="宋体" w:cs="宋体"/>
                <w:kern w:val="0"/>
                <w:sz w:val="20"/>
                <w:szCs w:val="20"/>
              </w:rPr>
              <w:t>25、支持DC12V供电，电源电压在DC(12±30%)V范围内变化时设备可以正常工作。</w:t>
            </w:r>
            <w:r>
              <w:rPr>
                <w:rFonts w:hint="eastAsia" w:ascii="宋体" w:hAnsi="宋体" w:cs="宋体"/>
                <w:kern w:val="0"/>
                <w:sz w:val="20"/>
                <w:szCs w:val="20"/>
              </w:rPr>
              <w:br w:type="textWrapping"/>
            </w:r>
            <w:r>
              <w:rPr>
                <w:rFonts w:hint="eastAsia" w:ascii="宋体" w:hAnsi="宋体" w:cs="宋体"/>
                <w:b/>
                <w:bCs/>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960"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3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无线网桥</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kern w:val="0"/>
                <w:sz w:val="20"/>
                <w:szCs w:val="20"/>
              </w:rPr>
            </w:pPr>
            <w:r>
              <w:rPr>
                <w:rFonts w:hint="eastAsia" w:ascii="宋体" w:hAnsi="宋体" w:cs="宋体"/>
                <w:kern w:val="0"/>
                <w:sz w:val="20"/>
                <w:szCs w:val="20"/>
              </w:rPr>
              <w:t>接入2路1080P，接口信息3*10/100Base-T RJ45电口；网络协议TCP/UDP/ARP/ICMP/DHCP/HTTP/NTP；无线带宽(MAX)300Mbps；无线对射距离(实测）400m；无线方向定向；工作温度-30℃～+60℃；天线内置天线,增益:6dBi；电源适配器标配</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对</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1153"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4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红外枪型摄像机（室外）</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1、具有200W像素 CMOS传感器。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2、在1920x1080 @25fps下，码率设定为1Mbps，RJ45输出，清晰度不小于1000TVL。</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3、★支持滤光片切换功能，摄像机可在彩色/黑白模式下自动切换滤光片。（公安部检验报告证明）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4、最低照度彩色：0.001lx，黑白：0.0005 lx。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5、支持H.265、H.264、MJPEG视频编码格式，其中H.265和H.264都支持Baseline/Main/High Profile。</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6、支持五码流技术，五码流可同时输出，主码流最大1920x1080@30fps，第二码流最大704x480@30fps，第三码流最大1920x1080 @30fps，第四码流最大704x480@30fps，第五码流最大1920x1080@30fps。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7、★支持帧率动态控制功能，当触发报警时，视频录像帧率应自动调整至设定值。（公安部检验报告证明）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8、在1920x1080 @30fps下，码率设定为1Mbps，图像传输延时≤200ms。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9、支持智能编码功能，摄像机开启智能编码功能后，码流节约1/2。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10、★支持最多同时开启25个视频窗口进行画面浏览。（公安部检验报告证明）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11、支持20行字符叠加，字体大小、颜色、对齐方式可设。（公安部检验报告证明）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12、支持IP地址搜索功能。（公安部检验报告证明）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13、★在IE浏览器下，具有平台接入配置选项。（公安部检验报告证明）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14、支持匿名访问功能，用户无输入用户名和密码即能浏览视频图像。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15、★具有黑白名单功能，黑白名单最多可添加100个IP地址。（公安部检验报告证明）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16、具备拌线入侵、区域入侵、徘徊、停车、快速移动、人员聚集、物体遗留/消失、进入/离开区等智能行为分析功能。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17、★支持场景参数设置，可设置3套场景参数，不同场景参数可按时间自动切换。（公安部检验报告证明)</w:t>
            </w:r>
            <w:r>
              <w:rPr>
                <w:rFonts w:hint="eastAsia" w:ascii="宋体" w:hAnsi="宋体" w:cs="宋体"/>
                <w:color w:val="000000"/>
                <w:kern w:val="0"/>
                <w:sz w:val="20"/>
                <w:szCs w:val="20"/>
              </w:rPr>
              <w:br w:type="textWrapping"/>
            </w:r>
            <w:r>
              <w:rPr>
                <w:rFonts w:hint="eastAsia" w:ascii="宋体" w:hAnsi="宋体" w:cs="宋体"/>
                <w:b/>
                <w:bCs/>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14</w:t>
            </w:r>
          </w:p>
        </w:tc>
      </w:tr>
      <w:tr>
        <w:tblPrEx>
          <w:tblCellMar>
            <w:top w:w="0" w:type="dxa"/>
            <w:left w:w="108" w:type="dxa"/>
            <w:bottom w:w="0" w:type="dxa"/>
            <w:right w:w="108" w:type="dxa"/>
          </w:tblCellMar>
        </w:tblPrEx>
        <w:trPr>
          <w:trHeight w:val="9302"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5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6路解码器</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1、采用高性能嵌入式处理器，嵌入式LINUX操作系统；</w:t>
            </w:r>
            <w:r>
              <w:rPr>
                <w:rFonts w:hint="eastAsia" w:ascii="宋体" w:hAnsi="宋体" w:cs="宋体"/>
                <w:color w:val="000000"/>
                <w:kern w:val="0"/>
                <w:sz w:val="20"/>
                <w:szCs w:val="20"/>
              </w:rPr>
              <w:br w:type="page"/>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 ★支持MPEG4、H.264、H.265、MJPEG视频解码，支持PCM、G.711、AAC音频解码，支持音视频复合流解码；（提供公安部检测报告证明）</w:t>
            </w:r>
            <w:r>
              <w:rPr>
                <w:rFonts w:hint="eastAsia" w:ascii="宋体" w:hAnsi="宋体" w:cs="宋体"/>
                <w:color w:val="000000"/>
                <w:kern w:val="0"/>
                <w:sz w:val="20"/>
                <w:szCs w:val="20"/>
              </w:rPr>
              <w:br w:type="page"/>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最大支持144个通道同时解码，H.264、H.265视频解码均支持：12路4000×3000或18路3840×2160、30帧/秒或21路3392×2008、25帧/秒或32路2506×1920、25帧/秒或42路2048×1536、25帧/秒或64路1920×1080、30帧/秒或144路1280×720、30帧/秒；（提供公安部检测报告证明）</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4、支持144个通道同时解码，支持通道任意开窗、漫游、图层叠加，支持预案轮巡；</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5、★支持80~480ms解码缓存能力；（提供公安部检测报告证明）</w:t>
            </w:r>
            <w:r>
              <w:rPr>
                <w:rFonts w:hint="eastAsia" w:ascii="宋体" w:hAnsi="宋体" w:cs="宋体"/>
                <w:color w:val="000000"/>
                <w:kern w:val="0"/>
                <w:sz w:val="20"/>
                <w:szCs w:val="20"/>
              </w:rPr>
              <w:br w:type="page"/>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6、支持1/4/9/16画面分割；</w:t>
            </w:r>
            <w:r>
              <w:rPr>
                <w:rFonts w:hint="eastAsia" w:ascii="宋体" w:hAnsi="宋体" w:cs="宋体"/>
                <w:color w:val="000000"/>
                <w:kern w:val="0"/>
                <w:sz w:val="20"/>
                <w:szCs w:val="20"/>
              </w:rPr>
              <w:br w:type="page"/>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7、支持主动解码和被动解码两种解码模式；</w:t>
            </w:r>
            <w:r>
              <w:rPr>
                <w:rFonts w:hint="eastAsia" w:ascii="宋体" w:hAnsi="宋体" w:cs="宋体"/>
                <w:color w:val="000000"/>
                <w:kern w:val="0"/>
                <w:sz w:val="20"/>
                <w:szCs w:val="20"/>
              </w:rPr>
              <w:br w:type="page"/>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8、★支持将报警输入和预案绑定，当报警触发后，能开启绑定的预案轮巡；（提供公安部检测报告证明）</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9、支持通过串口控制屏幕开关，亮度、饱和度，对比度调节；</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10、支持onvif、国标接入；</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11、通过网络访问设备支持https协议，实现浏览器与设备之间的通信加密；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12、 支持2个10/100/1000自适应以太网口；</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13、采用标准网络协议和标准压缩算法，在各种平台上轻松实现互联互通；</w:t>
            </w:r>
            <w:r>
              <w:rPr>
                <w:rFonts w:hint="eastAsia" w:ascii="宋体" w:hAnsi="宋体" w:cs="宋体"/>
                <w:color w:val="000000"/>
                <w:kern w:val="0"/>
                <w:sz w:val="20"/>
                <w:szCs w:val="20"/>
              </w:rPr>
              <w:br w:type="page"/>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14、支持AC100~240V供电，功耗不大于70W；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15、工作温度-10°~﹢55°；</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br w:type="page"/>
            </w:r>
            <w:r>
              <w:rPr>
                <w:rFonts w:hint="eastAsia" w:ascii="宋体" w:hAnsi="宋体" w:cs="宋体"/>
                <w:color w:val="000000"/>
                <w:kern w:val="0"/>
                <w:sz w:val="20"/>
                <w:szCs w:val="20"/>
              </w:rPr>
              <w:t>16、标准1.5U机箱，19英寸机架设计。</w:t>
            </w:r>
          </w:p>
          <w:p>
            <w:pPr>
              <w:widowControl/>
              <w:jc w:val="left"/>
              <w:rPr>
                <w:rFonts w:ascii="宋体" w:hAnsi="宋体" w:cs="宋体"/>
                <w:color w:val="000000"/>
                <w:kern w:val="0"/>
                <w:sz w:val="20"/>
                <w:szCs w:val="20"/>
              </w:rPr>
            </w:pPr>
            <w:r>
              <w:rPr>
                <w:rFonts w:hint="eastAsia" w:ascii="宋体" w:hAnsi="宋体" w:cs="宋体"/>
                <w:b/>
                <w:bCs/>
                <w:color w:val="000000"/>
                <w:kern w:val="0"/>
                <w:sz w:val="20"/>
                <w:szCs w:val="20"/>
              </w:rPr>
              <w:t>质保要求：★提供原厂授权函和原厂三年质保承诺函。</w:t>
            </w:r>
            <w:r>
              <w:rPr>
                <w:rFonts w:hint="eastAsia" w:ascii="宋体" w:hAnsi="宋体" w:cs="宋体"/>
                <w:color w:val="000000"/>
                <w:kern w:val="0"/>
                <w:sz w:val="20"/>
                <w:szCs w:val="20"/>
              </w:rPr>
              <w:t xml:space="preserve">                         </w:t>
            </w:r>
            <w:r>
              <w:rPr>
                <w:rFonts w:hint="eastAsia" w:ascii="宋体" w:hAnsi="宋体" w:cs="宋体"/>
                <w:color w:val="000000"/>
                <w:kern w:val="0"/>
                <w:sz w:val="20"/>
                <w:szCs w:val="20"/>
              </w:rPr>
              <w:br w:type="page"/>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286"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 xml:space="preserve">6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拼接屏</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1、屏幕尺寸46，LED光源；</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2、双边拼缝≦3.5mm，响应时间≦8ms；</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3、亮度不低于 500cd/m2；</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4、分辨率：1920×1080，对比度不低于 4000：1，水平可视角度≧178°，垂直可视角度≧178°，水平分辨力≥800TVL，亮度鉴别等级≥10 级；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5、输入接口可支持：USBx2，HDMI×2，VGA×1，DVI 环入×1，AV,BNC×1，Y(YPbPr)×1，Pb(YPbPr)×1，Pr(YPbPr)×1，音频，RJ45/ISP输出接口可支持：VGA×1，DVI 环出×1，AV,音频,RJ45，DEBUG/ISP×1；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6、</w:t>
            </w:r>
            <w:r>
              <w:rPr>
                <w:rFonts w:hint="eastAsia" w:ascii="宋体" w:hAnsi="宋体" w:cs="宋体"/>
                <w:b/>
                <w:bCs/>
                <w:color w:val="000000"/>
                <w:kern w:val="0"/>
                <w:sz w:val="20"/>
                <w:szCs w:val="20"/>
              </w:rPr>
              <w:t>★</w:t>
            </w:r>
            <w:r>
              <w:rPr>
                <w:rFonts w:hint="eastAsia" w:ascii="宋体" w:hAnsi="宋体" w:cs="宋体"/>
                <w:color w:val="000000"/>
                <w:kern w:val="0"/>
                <w:sz w:val="20"/>
                <w:szCs w:val="20"/>
              </w:rPr>
              <w:t>液晶显示单元符合 GB9254-2008—30MHz～1000MHz 辐射骚扰场强限值要求；</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7、液晶拼接单元具备3组冗余风扇，一个风扇损坏不会影响整机运行；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8、提供加盖投标人盖章的显示单元3C认证证书复印件； 9、提供加盖投标人盖章的中国节能产品认证证书（能效等级:1 级）；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10、</w:t>
            </w:r>
            <w:r>
              <w:rPr>
                <w:rFonts w:hint="eastAsia" w:ascii="宋体" w:hAnsi="宋体" w:cs="宋体"/>
                <w:b/>
                <w:bCs/>
                <w:color w:val="000000"/>
                <w:kern w:val="0"/>
                <w:sz w:val="20"/>
                <w:szCs w:val="20"/>
              </w:rPr>
              <w:t>★</w:t>
            </w:r>
            <w:r>
              <w:rPr>
                <w:rFonts w:hint="eastAsia" w:ascii="宋体" w:hAnsi="宋体" w:cs="宋体"/>
                <w:color w:val="000000"/>
                <w:kern w:val="0"/>
                <w:sz w:val="20"/>
                <w:szCs w:val="20"/>
              </w:rPr>
              <w:t>显示单元通过 GB/T4857.5-1992 包装运输包装件跌落试验检测；</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11、考虑系统兼容稳定性显示单元必须与图像拼接控制器、控制软件采用同一品牌。</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r>
      <w:tr>
        <w:tblPrEx>
          <w:tblCellMar>
            <w:top w:w="0" w:type="dxa"/>
            <w:left w:w="108" w:type="dxa"/>
            <w:bottom w:w="0" w:type="dxa"/>
            <w:right w:w="108" w:type="dxa"/>
          </w:tblCellMar>
        </w:tblPrEx>
        <w:trPr>
          <w:trHeight w:val="286"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拼接屏安装部件</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壁挂安装，包含刚支（挂）架、线缆，辅材、底座、安装人工费等全部费用</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套</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Cs w:val="21"/>
              </w:rPr>
            </w:pPr>
            <w:r>
              <w:rPr>
                <w:rFonts w:hint="eastAsia" w:ascii="宋体" w:hAnsi="宋体" w:cs="宋体"/>
                <w:kern w:val="0"/>
                <w:szCs w:val="21"/>
              </w:rPr>
              <w:t>1</w:t>
            </w:r>
          </w:p>
        </w:tc>
      </w:tr>
      <w:tr>
        <w:tblPrEx>
          <w:tblCellMar>
            <w:top w:w="0" w:type="dxa"/>
            <w:left w:w="108" w:type="dxa"/>
            <w:bottom w:w="0" w:type="dxa"/>
            <w:right w:w="108" w:type="dxa"/>
          </w:tblCellMar>
        </w:tblPrEx>
        <w:trPr>
          <w:trHeight w:val="6421"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8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64路NVR录像机</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1、★2个VGA接口、2个HDMI接口、2个千兆以太网口、4个USB接口(后面板2个USB3.0,前面板2个USB2.0)、16个SATA 3.0接口、1个eSATA接口、1个RS232接口、1个RS485接口（A/B口）、16路报警输入接口；6路报警输出接口；1路DC 12V输出接口；1个Mic音频输入RCA接口；2个Mic音频输出RCA接口；1个220V电源输入接口；（需提供公安部检测报告）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2、★当设备探测到视频入侵报警和/或收到报警联动触发信号时，应能启动设备相应的通道进行联动记录。设备应能预录报警触发前≥5s的视（音）频 （需提供公安部检测报告）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3、最大可接入16块接口为SATA的硬盘，每个SATA口可接入最大10TB容量的硬盘，可通过eSATA接口接入外置硬盘，样机可外置SSD固态硬盘，可配置8个IPSAN网盘，支持对加密硬盘的适应接入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4、★样机可接入音频编码格式为G.711u、G.711a、G.726、G.722.1、G.729、AAC；采样率支持8k、16k、32k、48k、64k；双音频IPC两路音频同时输入（需提供公安部检测报告）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5、★可将硬盘划分不同的存储空间，可通过IE浏览器 以及GUI界面设置RAID组为RAID0、RAID1、RAID5、RAID6、RAID10、RAID50、RAID60、JBOD模式，并具有一键RAID5功能（需提供公安部检测报告）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RAID工作模式分为自适应、同步优先、业务优先、负载均衡，通过设置不同的模式，可控制RAID同步速度，默认模式为自适应，支持监控级和企业级硬盘创建RAID</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6、可指定某块硬盘为热备盘，支持全局热备和局部热备。当RAID内某一块硬盘发生故障，热备盘可自动替换故障盘，进行磁盘阵列重构。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7、当RAID组中某块工作正常的硬盘被误拔掉之后1分钟内再插上，该硬盘能恢复到原RAID组中</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8、可通过客户端软件在2路视频图像中分别叠加1路其他通道的视频图像并同时显示。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可对画中画视频进行录像，支持在64画面预览模式下同时预览2路画中画视频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9、支持180°及360°鱼眼后矫正功能,在预览及回放录像文件时,可对分辨率为4000×3000的预览画面进行拼接矫正显示。支持6种拼接矫正模式：360°、2P、1+3、1+4、1P+6、1+8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10、可设置实时、默认、流畅三种预览策略，预览界面可设置图像参数、云台控制、语音对讲，可查看录像状态。预览画面电子放大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11、在最大画面分屏显示模式下，样机可拖动改变各通道视频画面的位置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12、支持定时、动检、报警、智能、手动抓图。可进行64路抓拍及1200W图片存储。可按时间通道同时检索64路图片。可正放/倒放图片。录像回放可进行抓图操作。能在web及本地同时查询调用图片。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可手动开启/停止所有通道录像，支持录像打包1--300min可设。可对主码流、子码流分别或同时录像，支持双码流录像和三码流录像，支持三码流：编码配置三码流可选，预览支持3码流切换，录像控制支持3码流控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14、可对指定时间的录像文件最多添加8192个标签。单个文件最大支持256个标签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15、在回放时间进度条上拖动鼠标，可自动显示当前时间点前后多张图片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16、可在时间轴上查看录像，时间轴上鼠标滚轮可切换控制24小时/2小时/1小时/30分钟。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17、★可将多台样机分别设置为主服务器和备用服务器，当其中的主服务器出现死机或者磁盘损等情况，可自动切换至备用服务器进行工作，当主服务器恢复正常后，录像数据能由备份服务器回传至主服务器，可配置高速、中速、低速进行回传（1&lt;M&lt;N）（需提供公安部检测报告）</w:t>
            </w:r>
            <w:r>
              <w:rPr>
                <w:rFonts w:hint="eastAsia" w:ascii="宋体" w:hAnsi="宋体" w:cs="宋体"/>
                <w:color w:val="000000"/>
                <w:kern w:val="0"/>
                <w:sz w:val="20"/>
                <w:szCs w:val="20"/>
              </w:rPr>
              <w:br w:type="textWrapping"/>
            </w:r>
            <w:r>
              <w:rPr>
                <w:rFonts w:hint="eastAsia" w:ascii="宋体" w:hAnsi="宋体" w:cs="宋体"/>
                <w:b/>
                <w:bCs/>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r>
      <w:tr>
        <w:tblPrEx>
          <w:tblCellMar>
            <w:top w:w="0" w:type="dxa"/>
            <w:left w:w="108" w:type="dxa"/>
            <w:bottom w:w="0" w:type="dxa"/>
            <w:right w:w="108" w:type="dxa"/>
          </w:tblCellMar>
        </w:tblPrEx>
        <w:trPr>
          <w:trHeight w:val="3814"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9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128路NVR录像机</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4个千兆以太网接口、2个光口、1个RS232接口、1个RS485接口、1个VGA接口、10个HDMI接口、1个RCA音频输入接口、1个RCA输出接口、4个USB接口(后面板2个USB3.0，前面板2个USB2.0)、24个SATA接口、1个eSATA接口、16个报警输入接口、8个报警输出接口，1个电源输入接口；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2、最大可接入24块接口为SATA的硬盘，单硬盘容量支持最大支持10TB，可通过eSATA接口接入外置硬盘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3、最大支持128路IPC接入，总码流为768Mbps；最大存储码流为768Mbps；最大转发码流为768Mbps；最大回放码流为128Mbps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★4、支持将IPC接入配置以CSV格式文件导入或导出本机，CSV格式文件允许用户编辑（公安部检验报告证明）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5、支持用户自定义创建预览显示布局，可组成6个自定义的窗口，单个窗口视频源可选择；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可创建不同用户的权限组，可分配不同用户权限（最大支持20个用户组及64个用户）;用户首次登录时，提示修改管理员密码，密码字符长度最大支持32位，支持提示问题密码找回;每个用户在登入设备时，每次输错密码均会提示剩余密码输入次数，第五次输错时，账户将被锁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7、支持NVR本地与IPC双向语音对讲功能；支持客户端和NVR本地双向语音对讲功能; 支持客户端与IPC双向语音对讲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★8、可将多台样机配置为集群管理方式，当某台样机发生故障时，备用样机可替换故障样机继续录像,故障恢复后，备用样机可将存储的录像回传给故障机，可以同时指定多台为备用样机（公安部检验报告证明）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9、支持在两个主通道画面上分别叠加1个其他通道的小画面视频，包括编码并可在16画面预览模式下预览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10、支持卡口相机的图片直接存入本机，并能检索、查看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11、可将音频采样率设置为8kHz、16kHz、32kHz、48kHz、64kHz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★12、支持在两个主通道画面上分别叠加1个其他通道的小画面视频，包括编码并可在16画面预览模式下预览，将多路通道的多幅图像拼接成一幅图像（公安部检验报告证明）。  </w:t>
            </w:r>
            <w:r>
              <w:rPr>
                <w:rFonts w:hint="eastAsia" w:ascii="宋体" w:hAnsi="宋体" w:cs="宋体"/>
                <w:color w:val="000000"/>
                <w:kern w:val="0"/>
                <w:sz w:val="20"/>
                <w:szCs w:val="20"/>
              </w:rPr>
              <w:br w:type="textWrapping"/>
            </w:r>
            <w:r>
              <w:rPr>
                <w:rFonts w:hint="eastAsia" w:ascii="宋体" w:hAnsi="宋体" w:cs="宋体"/>
                <w:b/>
                <w:bCs/>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121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10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综合安防管理平台</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支持对监控点实时预览，支持1/4/9/16画面预览方式；</w:t>
            </w:r>
            <w:r>
              <w:rPr>
                <w:rFonts w:hint="eastAsia" w:ascii="宋体" w:hAnsi="宋体" w:cs="宋体"/>
                <w:color w:val="000000"/>
                <w:kern w:val="0"/>
                <w:sz w:val="20"/>
                <w:szCs w:val="20"/>
              </w:rPr>
              <w:br w:type="page"/>
            </w:r>
            <w:r>
              <w:rPr>
                <w:rFonts w:hint="eastAsia" w:ascii="宋体" w:hAnsi="宋体" w:cs="宋体"/>
                <w:color w:val="000000"/>
                <w:kern w:val="0"/>
                <w:sz w:val="20"/>
                <w:szCs w:val="20"/>
              </w:rPr>
              <w:t>支持接入多种形式设备的录像存储，多种录像计划配置；</w:t>
            </w:r>
            <w:r>
              <w:rPr>
                <w:rFonts w:hint="eastAsia" w:ascii="宋体" w:hAnsi="宋体" w:cs="宋体"/>
                <w:color w:val="000000"/>
                <w:kern w:val="0"/>
                <w:sz w:val="20"/>
                <w:szCs w:val="20"/>
              </w:rPr>
              <w:br w:type="page"/>
            </w:r>
            <w:r>
              <w:rPr>
                <w:rFonts w:hint="eastAsia" w:ascii="宋体" w:hAnsi="宋体" w:cs="宋体"/>
                <w:color w:val="000000"/>
                <w:kern w:val="0"/>
                <w:sz w:val="20"/>
                <w:szCs w:val="20"/>
              </w:rPr>
              <w:t>支持录像回放、时间信息显示和录像下载、备份；</w:t>
            </w:r>
            <w:r>
              <w:rPr>
                <w:rFonts w:hint="eastAsia" w:ascii="宋体" w:hAnsi="宋体" w:cs="宋体"/>
                <w:color w:val="000000"/>
                <w:kern w:val="0"/>
                <w:sz w:val="20"/>
                <w:szCs w:val="20"/>
              </w:rPr>
              <w:br w:type="page"/>
            </w:r>
            <w:r>
              <w:rPr>
                <w:rFonts w:hint="eastAsia" w:ascii="宋体" w:hAnsi="宋体" w:cs="宋体"/>
                <w:color w:val="000000"/>
                <w:kern w:val="0"/>
                <w:sz w:val="20"/>
                <w:szCs w:val="20"/>
              </w:rPr>
              <w:t>支持可注册的设备接入数不少于256个；</w:t>
            </w:r>
            <w:r>
              <w:rPr>
                <w:rFonts w:hint="eastAsia" w:ascii="宋体" w:hAnsi="宋体" w:cs="宋体"/>
                <w:color w:val="000000"/>
                <w:kern w:val="0"/>
                <w:sz w:val="20"/>
                <w:szCs w:val="20"/>
              </w:rPr>
              <w:br w:type="page"/>
            </w:r>
            <w:r>
              <w:rPr>
                <w:rFonts w:hint="eastAsia" w:ascii="宋体" w:hAnsi="宋体" w:cs="宋体"/>
                <w:color w:val="000000"/>
                <w:kern w:val="0"/>
                <w:sz w:val="20"/>
                <w:szCs w:val="20"/>
              </w:rPr>
              <w:t>支持录像标签功能，支持搜索、修改、删除标签，并可通过标签定位录像并回放</w:t>
            </w:r>
            <w:r>
              <w:rPr>
                <w:rFonts w:hint="eastAsia" w:ascii="宋体" w:hAnsi="宋体" w:cs="宋体"/>
                <w:color w:val="000000"/>
                <w:kern w:val="0"/>
                <w:sz w:val="20"/>
                <w:szCs w:val="20"/>
              </w:rPr>
              <w:br w:type="page"/>
            </w:r>
            <w:r>
              <w:rPr>
                <w:rFonts w:hint="eastAsia" w:ascii="宋体" w:hAnsi="宋体" w:cs="宋体"/>
                <w:color w:val="000000"/>
                <w:kern w:val="0"/>
                <w:sz w:val="20"/>
                <w:szCs w:val="20"/>
              </w:rPr>
              <w:t>支持多网域配置，实现多网融合、跨网段、内外网等灵活部署；</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套</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558"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11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控制键盘</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2725" w:type="pct"/>
            <w:tcBorders>
              <w:top w:val="nil"/>
              <w:left w:val="nil"/>
              <w:bottom w:val="single" w:color="auto" w:sz="4" w:space="0"/>
              <w:right w:val="single" w:color="auto" w:sz="4" w:space="0"/>
            </w:tcBorders>
            <w:shd w:val="clear" w:color="000000" w:fill="FFFFFF"/>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1、最少可添加20个用户，每个用户最多可控制2048台设备；球机485地址最多256个；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2、支持网络控制、RS232和RS485控制方式；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3、支持键盘控制DVR、NVR、球机等设备；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4、可实现硬盘录像机前面板的所有功能；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5、具备键盘锁定、级联、DHCP等功能；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6、支持USB控制SmartPss软件和DSS7100平台客户端，控制其他DSS平台客户端可定制；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7、232控制模拟视频矩阵（DHM-VIDEO 4816等型号）；</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8、支持云台基本操作，支持球机菜单、预置点、线扫、巡航、巡迹等功能；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9、支持权限细分功能，如系统设置、高级选项、备份、云台控制等功能权限；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10、可视化菜单设计、便捷的操作流程，精准的操控性；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11、支持第三方平台开发接入；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12、一台设备同时支持多种语言，如（繁体、简体同时支持）；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13、全新外观设计，时尚大方支持解码器全系列/Dscon、m70/m60等矩阵控制                                                                                                                              </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780"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12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8T监控级硬盘</w:t>
            </w:r>
          </w:p>
        </w:tc>
        <w:tc>
          <w:tcPr>
            <w:tcW w:w="58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希捷、大华、海康威视</w:t>
            </w: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接口类型：SATA;容量8TB,缓存≥256M，转速≥7200转，三年质保</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块</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50</w:t>
            </w:r>
          </w:p>
        </w:tc>
      </w:tr>
      <w:tr>
        <w:tblPrEx>
          <w:tblCellMar>
            <w:top w:w="0" w:type="dxa"/>
            <w:left w:w="108" w:type="dxa"/>
            <w:bottom w:w="0" w:type="dxa"/>
            <w:right w:w="108" w:type="dxa"/>
          </w:tblCellMar>
        </w:tblPrEx>
        <w:trPr>
          <w:trHeight w:val="112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13</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管理电脑</w:t>
            </w:r>
          </w:p>
        </w:tc>
        <w:tc>
          <w:tcPr>
            <w:tcW w:w="58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联想、戴尔、惠普</w:t>
            </w:r>
          </w:p>
        </w:tc>
        <w:tc>
          <w:tcPr>
            <w:tcW w:w="2725" w:type="pct"/>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CPU;I3-6100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内存: 4G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硬盘:500G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★显示器 :19.5（屏幕长宽比16：9）</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151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14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核心交换机</w:t>
            </w:r>
          </w:p>
        </w:tc>
        <w:tc>
          <w:tcPr>
            <w:tcW w:w="585" w:type="pct"/>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华为、锐捷、思科</w:t>
            </w: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24个千兆 SFP，8个复用的千兆10/100/1000Base-T以太网端口Combo，4个万兆SFP+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支持交流或直流供电，支持RPS冗余电源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交换容量：336Gbps/3.36Tbps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包转发率：108Mpps/126Mpps</w:t>
            </w:r>
            <w:r>
              <w:rPr>
                <w:rFonts w:hint="eastAsia" w:ascii="宋体" w:hAnsi="宋体" w:cs="宋体"/>
                <w:color w:val="000000"/>
                <w:kern w:val="0"/>
                <w:sz w:val="20"/>
                <w:szCs w:val="20"/>
              </w:rPr>
              <w:br w:type="textWrapping"/>
            </w:r>
            <w:r>
              <w:rPr>
                <w:rFonts w:hint="eastAsia" w:ascii="宋体" w:hAnsi="宋体" w:cs="宋体"/>
                <w:b/>
                <w:bCs/>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3392"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15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24口接入交换机</w:t>
            </w:r>
          </w:p>
        </w:tc>
        <w:tc>
          <w:tcPr>
            <w:tcW w:w="585"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szCs w:val="22"/>
              </w:rPr>
            </w:pPr>
          </w:p>
        </w:tc>
        <w:tc>
          <w:tcPr>
            <w:tcW w:w="2725" w:type="pct"/>
            <w:tcBorders>
              <w:top w:val="nil"/>
              <w:left w:val="nil"/>
              <w:bottom w:val="single" w:color="auto" w:sz="4" w:space="0"/>
              <w:right w:val="single" w:color="auto" w:sz="4" w:space="0"/>
            </w:tcBorders>
            <w:shd w:val="clear" w:color="000000" w:fill="FFFFFF"/>
            <w:vAlign w:val="center"/>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1、交换容量≥256Gbps，包转发率≥108Mpps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2、支持PoE（802.3af）和PoE+（802.3at）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3、支持MAC地址≥16K；支持ARP表项≥2K；支持4K个VLAN，支持基于端口、MAC、协议的VLAN；支持VLAN内端口隔离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4、支持静态路由、RIP、RIPng、OSPF、OSPFv3；支持IPv4路由表≥4000，IPv6路由表≥1000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5、支持IGMP v1/v2/v3 Snooping；支持VLAN内组播转发和组播多VLAN复制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6、支持防止DOS、ARP攻击功能、ICMP防攻击；支持端口隔离、端口安全；支持CPU保护功能；支持基于第二层、第三层和第四层的ACL；支持IP/Port/MAC的绑定功能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7、支持智能堆叠，堆叠后逻辑上虚拟为一台设备，具有统一的表项和管理；支持以太网电口堆叠，用网线连接实现堆叠功能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8、支持纵向虚拟化，作为纵向子节点零配置即插即用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9、支持SNMP v1/v2/v3、Telnet、RMON；支持通过命令行、Web、中文图形化配置软件等方式进行配置和管理；支持802.3az能效以太网EEE</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10、本次配置24个千兆电口，4个千兆SFP；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11、支持Openflow1.3标准，便于网络流量分析统计；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12、产品要求：提供工信部入网证；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w:t>
            </w:r>
            <w:r>
              <w:rPr>
                <w:rFonts w:hint="eastAsia" w:ascii="宋体" w:hAnsi="宋体" w:cs="宋体"/>
                <w:b/>
                <w:bCs/>
                <w:color w:val="000000"/>
                <w:kern w:val="0"/>
                <w:sz w:val="20"/>
                <w:szCs w:val="20"/>
              </w:rPr>
              <w:t>质保要求：★提供原厂授权函和原厂三年质保承诺函。</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r>
      <w:tr>
        <w:tblPrEx>
          <w:tblCellMar>
            <w:top w:w="0" w:type="dxa"/>
            <w:left w:w="108" w:type="dxa"/>
            <w:bottom w:w="0" w:type="dxa"/>
            <w:right w:w="108" w:type="dxa"/>
          </w:tblCellMar>
        </w:tblPrEx>
        <w:trPr>
          <w:trHeight w:val="660"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16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光纤模块</w:t>
            </w:r>
          </w:p>
        </w:tc>
        <w:tc>
          <w:tcPr>
            <w:tcW w:w="585" w:type="pct"/>
            <w:tcBorders>
              <w:top w:val="nil"/>
              <w:left w:val="nil"/>
              <w:bottom w:val="nil"/>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华为、大华、海康威视</w:t>
            </w: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SFP,1000Base-LX千兆光模块,1310纳米,单模10公里</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个</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17</w:t>
            </w:r>
          </w:p>
        </w:tc>
      </w:tr>
      <w:tr>
        <w:tblPrEx>
          <w:tblCellMar>
            <w:top w:w="0" w:type="dxa"/>
            <w:left w:w="108" w:type="dxa"/>
            <w:bottom w:w="0" w:type="dxa"/>
            <w:right w:w="108" w:type="dxa"/>
          </w:tblCellMar>
        </w:tblPrEx>
        <w:trPr>
          <w:trHeight w:val="52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17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光缆</w:t>
            </w:r>
          </w:p>
        </w:tc>
        <w:tc>
          <w:tcPr>
            <w:tcW w:w="58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一舟、兰贝、爱谱华顿</w:t>
            </w: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室外8芯中心束管式单模光缆</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1600</w:t>
            </w:r>
          </w:p>
        </w:tc>
      </w:tr>
      <w:tr>
        <w:tblPrEx>
          <w:tblCellMar>
            <w:top w:w="0" w:type="dxa"/>
            <w:left w:w="108" w:type="dxa"/>
            <w:bottom w:w="0" w:type="dxa"/>
            <w:right w:w="108" w:type="dxa"/>
          </w:tblCellMar>
        </w:tblPrEx>
        <w:trPr>
          <w:trHeight w:val="58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18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光纤跳线</w:t>
            </w:r>
          </w:p>
        </w:tc>
        <w:tc>
          <w:tcPr>
            <w:tcW w:w="5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电信级光纤跳线,单模单芯</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w:t>
            </w:r>
          </w:p>
        </w:tc>
      </w:tr>
      <w:tr>
        <w:tblPrEx>
          <w:tblCellMar>
            <w:top w:w="0" w:type="dxa"/>
            <w:left w:w="108" w:type="dxa"/>
            <w:bottom w:w="0" w:type="dxa"/>
            <w:right w:w="108" w:type="dxa"/>
          </w:tblCellMar>
        </w:tblPrEx>
        <w:trPr>
          <w:trHeight w:val="52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19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楼层机柜</w:t>
            </w:r>
          </w:p>
        </w:tc>
        <w:tc>
          <w:tcPr>
            <w:tcW w:w="5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标准尺寸9U，含公牛插排（3+3+2）</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r>
      <w:tr>
        <w:tblPrEx>
          <w:tblCellMar>
            <w:top w:w="0" w:type="dxa"/>
            <w:left w:w="108" w:type="dxa"/>
            <w:bottom w:w="0" w:type="dxa"/>
            <w:right w:w="108" w:type="dxa"/>
          </w:tblCellMar>
        </w:tblPrEx>
        <w:trPr>
          <w:trHeight w:val="675"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20 </w:t>
            </w:r>
          </w:p>
        </w:tc>
        <w:tc>
          <w:tcPr>
            <w:tcW w:w="612"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网线</w:t>
            </w:r>
          </w:p>
        </w:tc>
        <w:tc>
          <w:tcPr>
            <w:tcW w:w="5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六类4对非屏蔽双绞线</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14000</w:t>
            </w:r>
          </w:p>
        </w:tc>
      </w:tr>
      <w:tr>
        <w:tblPrEx>
          <w:tblCellMar>
            <w:top w:w="0" w:type="dxa"/>
            <w:left w:w="108" w:type="dxa"/>
            <w:bottom w:w="0" w:type="dxa"/>
            <w:right w:w="108" w:type="dxa"/>
          </w:tblCellMar>
        </w:tblPrEx>
        <w:trPr>
          <w:trHeight w:val="559"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21 </w:t>
            </w:r>
          </w:p>
        </w:tc>
        <w:tc>
          <w:tcPr>
            <w:tcW w:w="61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PVC阻燃管</w:t>
            </w:r>
          </w:p>
        </w:tc>
        <w:tc>
          <w:tcPr>
            <w:tcW w:w="58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鸿雁、日丰、伟星</w:t>
            </w: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国产优质</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米</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5600</w:t>
            </w:r>
          </w:p>
        </w:tc>
      </w:tr>
      <w:tr>
        <w:tblPrEx>
          <w:tblCellMar>
            <w:top w:w="0" w:type="dxa"/>
            <w:left w:w="108" w:type="dxa"/>
            <w:bottom w:w="0" w:type="dxa"/>
            <w:right w:w="108" w:type="dxa"/>
          </w:tblCellMar>
        </w:tblPrEx>
        <w:trPr>
          <w:trHeight w:val="510"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22 </w:t>
            </w:r>
          </w:p>
        </w:tc>
        <w:tc>
          <w:tcPr>
            <w:tcW w:w="61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视频高清线</w:t>
            </w:r>
          </w:p>
        </w:tc>
        <w:tc>
          <w:tcPr>
            <w:tcW w:w="58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秋叶原、飞利浦、绿联</w:t>
            </w: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高速高清线，向下兼容1.4、1.3版本，接口：宽度1.4cm标准HDMI接口，7-15米</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根</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r>
      <w:tr>
        <w:tblPrEx>
          <w:tblCellMar>
            <w:top w:w="0" w:type="dxa"/>
            <w:left w:w="108" w:type="dxa"/>
            <w:bottom w:w="0" w:type="dxa"/>
            <w:right w:w="108" w:type="dxa"/>
          </w:tblCellMar>
        </w:tblPrEx>
        <w:trPr>
          <w:trHeight w:val="634" w:hRule="atLeast"/>
        </w:trPr>
        <w:tc>
          <w:tcPr>
            <w:tcW w:w="351" w:type="pct"/>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23 </w:t>
            </w:r>
          </w:p>
        </w:tc>
        <w:tc>
          <w:tcPr>
            <w:tcW w:w="612"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熔纤</w:t>
            </w:r>
          </w:p>
        </w:tc>
        <w:tc>
          <w:tcPr>
            <w:tcW w:w="58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725"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全熔，含1.5米/根尾纤，尾纤品牌与线缆品牌一致</w:t>
            </w:r>
          </w:p>
        </w:tc>
        <w:tc>
          <w:tcPr>
            <w:tcW w:w="315"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对</w:t>
            </w:r>
          </w:p>
        </w:tc>
        <w:tc>
          <w:tcPr>
            <w:tcW w:w="414" w:type="pct"/>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128</w:t>
            </w:r>
          </w:p>
        </w:tc>
      </w:tr>
      <w:tr>
        <w:tblPrEx>
          <w:tblCellMar>
            <w:top w:w="0" w:type="dxa"/>
            <w:left w:w="108" w:type="dxa"/>
            <w:bottom w:w="0" w:type="dxa"/>
            <w:right w:w="108" w:type="dxa"/>
          </w:tblCellMar>
        </w:tblPrEx>
        <w:trPr>
          <w:trHeight w:val="675" w:hRule="atLeast"/>
        </w:trPr>
        <w:tc>
          <w:tcPr>
            <w:tcW w:w="351" w:type="pct"/>
            <w:tcBorders>
              <w:top w:val="nil"/>
              <w:left w:val="single" w:color="auto" w:sz="8" w:space="0"/>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24 </w:t>
            </w:r>
          </w:p>
        </w:tc>
        <w:tc>
          <w:tcPr>
            <w:tcW w:w="612" w:type="pct"/>
            <w:tcBorders>
              <w:top w:val="nil"/>
              <w:left w:val="nil"/>
              <w:bottom w:val="single" w:color="auto" w:sz="8"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布线辅材</w:t>
            </w:r>
          </w:p>
        </w:tc>
        <w:tc>
          <w:tcPr>
            <w:tcW w:w="585" w:type="pct"/>
            <w:tcBorders>
              <w:top w:val="nil"/>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c>
          <w:tcPr>
            <w:tcW w:w="2725" w:type="pct"/>
            <w:tcBorders>
              <w:top w:val="nil"/>
              <w:left w:val="nil"/>
              <w:bottom w:val="single" w:color="auto" w:sz="8"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15" w:type="pct"/>
            <w:tcBorders>
              <w:top w:val="nil"/>
              <w:left w:val="nil"/>
              <w:bottom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批</w:t>
            </w:r>
          </w:p>
        </w:tc>
        <w:tc>
          <w:tcPr>
            <w:tcW w:w="414" w:type="pct"/>
            <w:tcBorders>
              <w:top w:val="nil"/>
              <w:left w:val="nil"/>
              <w:bottom w:val="single" w:color="auto" w:sz="8"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bl>
    <w:p>
      <w:pPr>
        <w:spacing w:line="360" w:lineRule="auto"/>
        <w:ind w:firstLine="420"/>
        <w:rPr>
          <w:rFonts w:ascii="宋体" w:hAnsi="宋体"/>
          <w:b/>
          <w:bCs/>
          <w:sz w:val="24"/>
        </w:rPr>
      </w:pPr>
    </w:p>
    <w:p>
      <w:pPr>
        <w:spacing w:line="360" w:lineRule="auto"/>
        <w:ind w:firstLine="420"/>
        <w:rPr>
          <w:rFonts w:ascii="宋体" w:hAnsi="宋体"/>
          <w:b/>
          <w:bCs/>
          <w:sz w:val="24"/>
        </w:rPr>
      </w:pPr>
      <w:r>
        <w:rPr>
          <w:rFonts w:hint="eastAsia" w:ascii="宋体" w:hAnsi="宋体"/>
          <w:b/>
          <w:bCs/>
          <w:sz w:val="24"/>
        </w:rPr>
        <w:t>机房装饰清单</w:t>
      </w:r>
    </w:p>
    <w:tbl>
      <w:tblPr>
        <w:tblStyle w:val="25"/>
        <w:tblW w:w="9660" w:type="dxa"/>
        <w:tblInd w:w="113" w:type="dxa"/>
        <w:tblLayout w:type="autofit"/>
        <w:tblCellMar>
          <w:top w:w="0" w:type="dxa"/>
          <w:left w:w="108" w:type="dxa"/>
          <w:bottom w:w="0" w:type="dxa"/>
          <w:right w:w="108" w:type="dxa"/>
        </w:tblCellMar>
      </w:tblPr>
      <w:tblGrid>
        <w:gridCol w:w="1080"/>
        <w:gridCol w:w="1720"/>
        <w:gridCol w:w="1720"/>
        <w:gridCol w:w="3251"/>
        <w:gridCol w:w="809"/>
        <w:gridCol w:w="1080"/>
      </w:tblGrid>
      <w:tr>
        <w:tblPrEx>
          <w:tblCellMar>
            <w:top w:w="0" w:type="dxa"/>
            <w:left w:w="108" w:type="dxa"/>
            <w:bottom w:w="0" w:type="dxa"/>
            <w:right w:w="108" w:type="dxa"/>
          </w:tblCellMar>
        </w:tblPrEx>
        <w:trPr>
          <w:trHeight w:val="42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6"/>
                <w:szCs w:val="26"/>
              </w:rPr>
            </w:pPr>
            <w:r>
              <w:rPr>
                <w:rFonts w:hint="eastAsia" w:ascii="宋体" w:hAnsi="宋体" w:cs="宋体"/>
                <w:b/>
                <w:bCs/>
                <w:kern w:val="0"/>
                <w:sz w:val="26"/>
                <w:szCs w:val="26"/>
              </w:rPr>
              <w:t>编号</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6"/>
                <w:szCs w:val="26"/>
              </w:rPr>
            </w:pPr>
            <w:r>
              <w:rPr>
                <w:rFonts w:hint="eastAsia" w:ascii="宋体" w:hAnsi="宋体" w:cs="宋体"/>
                <w:b/>
                <w:bCs/>
                <w:kern w:val="0"/>
                <w:sz w:val="26"/>
                <w:szCs w:val="26"/>
              </w:rPr>
              <w:t>项目名称</w:t>
            </w:r>
          </w:p>
        </w:tc>
        <w:tc>
          <w:tcPr>
            <w:tcW w:w="17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6"/>
                <w:szCs w:val="26"/>
              </w:rPr>
            </w:pPr>
            <w:r>
              <w:rPr>
                <w:rFonts w:hint="eastAsia" w:ascii="宋体" w:hAnsi="宋体" w:cs="宋体"/>
                <w:b/>
                <w:bCs/>
                <w:kern w:val="0"/>
                <w:sz w:val="26"/>
                <w:szCs w:val="26"/>
              </w:rPr>
              <w:t>推荐品牌</w:t>
            </w:r>
          </w:p>
        </w:tc>
        <w:tc>
          <w:tcPr>
            <w:tcW w:w="32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6"/>
                <w:szCs w:val="26"/>
              </w:rPr>
            </w:pPr>
            <w:r>
              <w:rPr>
                <w:rFonts w:hint="eastAsia" w:ascii="宋体" w:hAnsi="宋体" w:cs="宋体"/>
                <w:b/>
                <w:bCs/>
                <w:kern w:val="0"/>
                <w:sz w:val="26"/>
                <w:szCs w:val="26"/>
              </w:rPr>
              <w:t>装饰要求</w:t>
            </w:r>
          </w:p>
        </w:tc>
        <w:tc>
          <w:tcPr>
            <w:tcW w:w="8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6"/>
                <w:szCs w:val="26"/>
              </w:rPr>
            </w:pPr>
            <w:r>
              <w:rPr>
                <w:rFonts w:hint="eastAsia" w:ascii="宋体" w:hAnsi="宋体" w:cs="宋体"/>
                <w:b/>
                <w:bCs/>
                <w:kern w:val="0"/>
                <w:sz w:val="26"/>
                <w:szCs w:val="26"/>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6"/>
                <w:szCs w:val="26"/>
              </w:rPr>
            </w:pPr>
            <w:r>
              <w:rPr>
                <w:rFonts w:hint="eastAsia" w:ascii="宋体" w:hAnsi="宋体" w:cs="宋体"/>
                <w:b/>
                <w:bCs/>
                <w:kern w:val="0"/>
                <w:sz w:val="26"/>
                <w:szCs w:val="26"/>
              </w:rPr>
              <w:t>数量</w:t>
            </w:r>
          </w:p>
        </w:tc>
      </w:tr>
      <w:tr>
        <w:tblPrEx>
          <w:tblCellMar>
            <w:top w:w="0" w:type="dxa"/>
            <w:left w:w="108" w:type="dxa"/>
            <w:bottom w:w="0" w:type="dxa"/>
            <w:right w:w="108" w:type="dxa"/>
          </w:tblCellMar>
        </w:tblPrEx>
        <w:trPr>
          <w:trHeight w:val="558"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原吊顶拆除</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3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blPrEx>
          <w:tblCellMar>
            <w:top w:w="0" w:type="dxa"/>
            <w:left w:w="108" w:type="dxa"/>
            <w:bottom w:w="0" w:type="dxa"/>
            <w:right w:w="108" w:type="dxa"/>
          </w:tblCellMar>
        </w:tblPrEx>
        <w:trPr>
          <w:trHeight w:val="72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原静电地板拆除</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3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rPr>
          <w:trHeight w:val="10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吊顶</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国产优质</w:t>
            </w:r>
          </w:p>
        </w:tc>
        <w:tc>
          <w:tcPr>
            <w:tcW w:w="3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600*600*0.8微孔吸音铝扣板面层，防火性能：A级，包含安装配件</w:t>
            </w:r>
          </w:p>
        </w:tc>
        <w:tc>
          <w:tcPr>
            <w:tcW w:w="8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rPr>
          <w:trHeight w:val="67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墙面</w:t>
            </w:r>
          </w:p>
        </w:tc>
        <w:tc>
          <w:tcPr>
            <w:tcW w:w="1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32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起皮、破损铲除，腻子粉、乳胶漆</w:t>
            </w:r>
          </w:p>
        </w:tc>
        <w:tc>
          <w:tcPr>
            <w:tcW w:w="8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50</w:t>
            </w:r>
          </w:p>
        </w:tc>
      </w:tr>
      <w:tr>
        <w:tblPrEx>
          <w:tblCellMar>
            <w:top w:w="0" w:type="dxa"/>
            <w:left w:w="108" w:type="dxa"/>
            <w:bottom w:w="0" w:type="dxa"/>
            <w:right w:w="108" w:type="dxa"/>
          </w:tblCellMar>
        </w:tblPrEx>
        <w:trPr>
          <w:trHeight w:val="96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无缝静电地板</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恒欣、汇迈、迪露</w:t>
            </w:r>
          </w:p>
        </w:tc>
        <w:tc>
          <w:tcPr>
            <w:tcW w:w="3251"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集中载荷≥1600KG/m²，均布载菏≥8000N/m²包括原静电地板拆除及新静电地板安装</w:t>
            </w:r>
          </w:p>
        </w:tc>
        <w:tc>
          <w:tcPr>
            <w:tcW w:w="8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16</w:t>
            </w:r>
          </w:p>
        </w:tc>
      </w:tr>
      <w:tr>
        <w:tblPrEx>
          <w:tblCellMar>
            <w:top w:w="0" w:type="dxa"/>
            <w:left w:w="108" w:type="dxa"/>
            <w:bottom w:w="0" w:type="dxa"/>
            <w:right w:w="108" w:type="dxa"/>
          </w:tblCellMar>
        </w:tblPrEx>
        <w:trPr>
          <w:trHeight w:val="730" w:hRule="atLeast"/>
        </w:trPr>
        <w:tc>
          <w:tcPr>
            <w:tcW w:w="10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原机房设备位置调整、调试费</w:t>
            </w:r>
          </w:p>
        </w:tc>
        <w:tc>
          <w:tcPr>
            <w:tcW w:w="17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3251"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0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系统</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r>
    </w:tbl>
    <w:p>
      <w:pPr>
        <w:spacing w:line="360" w:lineRule="auto"/>
        <w:ind w:firstLine="420"/>
        <w:rPr>
          <w:rFonts w:ascii="宋体" w:hAnsi="宋体"/>
          <w:b/>
          <w:bCs/>
          <w:sz w:val="24"/>
        </w:rPr>
      </w:pPr>
    </w:p>
    <w:p>
      <w:pPr>
        <w:spacing w:line="360" w:lineRule="auto"/>
        <w:ind w:firstLine="420"/>
        <w:rPr>
          <w:rFonts w:ascii="宋体" w:hAnsi="宋体"/>
          <w:b/>
          <w:bCs/>
          <w:sz w:val="24"/>
        </w:rPr>
      </w:pPr>
    </w:p>
    <w:p>
      <w:pPr>
        <w:spacing w:line="360" w:lineRule="auto"/>
        <w:ind w:firstLine="420"/>
        <w:rPr>
          <w:rFonts w:ascii="宋体" w:hAnsi="宋体"/>
          <w:b/>
          <w:bCs/>
          <w:sz w:val="24"/>
        </w:rPr>
      </w:pPr>
    </w:p>
    <w:p>
      <w:pPr>
        <w:spacing w:line="360" w:lineRule="auto"/>
        <w:ind w:firstLine="420"/>
        <w:rPr>
          <w:rFonts w:ascii="宋体" w:hAnsi="宋体"/>
          <w:b/>
          <w:bCs/>
          <w:sz w:val="24"/>
        </w:rPr>
      </w:pPr>
    </w:p>
    <w:p>
      <w:pPr>
        <w:pStyle w:val="2"/>
        <w:numPr>
          <w:ilvl w:val="0"/>
          <w:numId w:val="0"/>
        </w:numPr>
      </w:pPr>
      <w:bookmarkStart w:id="15" w:name="_Toc13732426"/>
      <w:bookmarkStart w:id="16" w:name="_Toc491005868"/>
      <w:r>
        <w:rPr>
          <w:rFonts w:hint="eastAsia"/>
        </w:rPr>
        <w:t>第五章</w:t>
      </w:r>
      <w:r>
        <w:t xml:space="preserve"> </w:t>
      </w:r>
      <w:r>
        <w:rPr>
          <w:rFonts w:hint="eastAsia"/>
        </w:rPr>
        <w:t>合同</w:t>
      </w:r>
      <w:bookmarkEnd w:id="15"/>
      <w:bookmarkEnd w:id="16"/>
    </w:p>
    <w:p/>
    <w:p>
      <w:pPr>
        <w:tabs>
          <w:tab w:val="left" w:pos="360"/>
          <w:tab w:val="left" w:pos="540"/>
          <w:tab w:val="left" w:pos="3600"/>
          <w:tab w:val="left" w:pos="3780"/>
          <w:tab w:val="left" w:pos="8460"/>
          <w:tab w:val="left" w:pos="9180"/>
        </w:tabs>
        <w:adjustRightInd w:val="0"/>
        <w:snapToGrid w:val="0"/>
        <w:ind w:right="-21" w:rightChars="-10"/>
        <w:rPr>
          <w:rFonts w:ascii="宋体"/>
          <w:sz w:val="24"/>
          <w:u w:val="single"/>
        </w:rPr>
      </w:pPr>
      <w:r>
        <w:rPr>
          <w:rFonts w:hint="eastAsia" w:ascii="宋体" w:hAnsi="宋体"/>
          <w:sz w:val="24"/>
        </w:rPr>
        <w:t>招标人（甲方）：</w:t>
      </w:r>
      <w:r>
        <w:rPr>
          <w:rFonts w:ascii="宋体" w:hAnsi="宋体"/>
          <w:sz w:val="24"/>
          <w:u w:val="single"/>
        </w:rPr>
        <w:t xml:space="preserve">                              </w:t>
      </w:r>
      <w:r>
        <w:rPr>
          <w:rFonts w:ascii="宋体" w:hAnsi="宋体"/>
          <w:sz w:val="24"/>
        </w:rPr>
        <w:t xml:space="preserve">  </w:t>
      </w:r>
    </w:p>
    <w:p>
      <w:pPr>
        <w:spacing w:line="360" w:lineRule="auto"/>
        <w:rPr>
          <w:rFonts w:ascii="宋体"/>
          <w:sz w:val="24"/>
        </w:rPr>
      </w:pPr>
      <w:r>
        <w:rPr>
          <w:rFonts w:hint="eastAsia" w:ascii="宋体" w:hAnsi="宋体"/>
          <w:sz w:val="24"/>
        </w:rPr>
        <w:t>供货人（乙方）：</w:t>
      </w:r>
      <w:r>
        <w:rPr>
          <w:rFonts w:ascii="宋体" w:hAnsi="宋体"/>
          <w:sz w:val="24"/>
          <w:u w:val="single"/>
        </w:rPr>
        <w:t xml:space="preserve">                              </w:t>
      </w:r>
      <w:r>
        <w:rPr>
          <w:rFonts w:ascii="宋体" w:hAnsi="宋体"/>
          <w:sz w:val="24"/>
        </w:rPr>
        <w:t xml:space="preserve">   </w:t>
      </w:r>
    </w:p>
    <w:p>
      <w:pPr>
        <w:spacing w:line="360" w:lineRule="auto"/>
        <w:rPr>
          <w:rFonts w:ascii="宋体"/>
          <w:sz w:val="24"/>
        </w:rPr>
      </w:pPr>
      <w:r>
        <w:rPr>
          <w:rFonts w:hint="eastAsia" w:ascii="宋体" w:hAnsi="宋体"/>
          <w:sz w:val="24"/>
        </w:rPr>
        <w:t>签订地点：</w:t>
      </w:r>
      <w:r>
        <w:rPr>
          <w:rFonts w:ascii="宋体" w:hAnsi="宋体"/>
          <w:sz w:val="24"/>
        </w:rPr>
        <w:t xml:space="preserve"> </w:t>
      </w:r>
    </w:p>
    <w:p>
      <w:pPr>
        <w:spacing w:line="360" w:lineRule="auto"/>
        <w:rPr>
          <w:rFonts w:ascii="宋体"/>
          <w:sz w:val="24"/>
        </w:rPr>
      </w:pPr>
      <w:r>
        <w:rPr>
          <w:rFonts w:hint="eastAsia" w:ascii="宋体" w:hAnsi="宋体"/>
          <w:sz w:val="24"/>
        </w:rPr>
        <w:t>项目名称：百大宝龙店视频监控系统升级改造项目</w:t>
      </w:r>
    </w:p>
    <w:p>
      <w:pPr>
        <w:spacing w:line="360" w:lineRule="auto"/>
        <w:rPr>
          <w:rFonts w:ascii="宋体"/>
          <w:sz w:val="24"/>
        </w:rPr>
      </w:pPr>
      <w:r>
        <w:rPr>
          <w:rFonts w:hint="eastAsia" w:ascii="宋体" w:hAnsi="宋体"/>
          <w:sz w:val="24"/>
        </w:rPr>
        <w:t>项目编号：</w:t>
      </w:r>
      <w:r>
        <w:rPr>
          <w:rFonts w:hint="eastAsia" w:ascii="宋体"/>
          <w:sz w:val="24"/>
        </w:rPr>
        <w:t>HBZ-1911</w:t>
      </w:r>
      <w:r>
        <w:rPr>
          <w:rFonts w:hint="eastAsia" w:ascii="宋体"/>
          <w:sz w:val="24"/>
          <w:lang w:val="en-US" w:eastAsia="zh-CN"/>
        </w:rPr>
        <w:t>59</w:t>
      </w:r>
      <w:r>
        <w:rPr>
          <w:rFonts w:hint="eastAsia" w:ascii="宋体"/>
          <w:sz w:val="24"/>
        </w:rPr>
        <w:t>-BBBL01</w:t>
      </w:r>
    </w:p>
    <w:p>
      <w:pPr>
        <w:spacing w:beforeLines="50" w:beforeAutospacing="1" w:afterLines="30" w:afterAutospacing="1" w:line="360" w:lineRule="auto"/>
        <w:ind w:firstLine="460" w:firstLineChars="192"/>
        <w:rPr>
          <w:rFonts w:ascii="宋体"/>
          <w:sz w:val="24"/>
        </w:rPr>
      </w:pPr>
      <w:r>
        <w:rPr>
          <w:rFonts w:hint="eastAsia" w:ascii="宋体" w:hAnsi="宋体"/>
          <w:sz w:val="24"/>
        </w:rPr>
        <w:t>本项目采用</w:t>
      </w:r>
      <w:r>
        <w:rPr>
          <w:rFonts w:hint="eastAsia" w:ascii="宋体" w:hAnsi="宋体"/>
          <w:sz w:val="24"/>
          <w:u w:val="single"/>
        </w:rPr>
        <w:t>公开招标</w:t>
      </w:r>
      <w:r>
        <w:rPr>
          <w:rFonts w:hint="eastAsia" w:ascii="宋体" w:hAnsi="宋体"/>
          <w:sz w:val="24"/>
        </w:rPr>
        <w:t>方式，经本项目评审委员会认真评审，决定将采购合同授予乙方。为进一步明确双方的责任，确保合同的顺利履行，根据《中华人民共和国合同法》之规定，经甲乙双方充分协商，特订立本合同，以便共同遵守。</w:t>
      </w:r>
    </w:p>
    <w:p>
      <w:pPr>
        <w:spacing w:beforeLines="50" w:beforeAutospacing="1" w:afterLines="30" w:afterAutospacing="1" w:line="360" w:lineRule="auto"/>
        <w:ind w:firstLine="482" w:firstLineChars="200"/>
        <w:rPr>
          <w:rFonts w:ascii="宋体"/>
          <w:sz w:val="24"/>
          <w:u w:val="single"/>
        </w:rPr>
      </w:pPr>
      <w:r>
        <w:rPr>
          <w:rFonts w:hint="eastAsia" w:ascii="宋体" w:hAnsi="宋体"/>
          <w:b/>
          <w:bCs/>
          <w:sz w:val="24"/>
        </w:rPr>
        <w:t xml:space="preserve">第一条  </w:t>
      </w:r>
      <w:r>
        <w:rPr>
          <w:rFonts w:hint="eastAsia" w:ascii="宋体" w:hAnsi="宋体"/>
          <w:sz w:val="24"/>
        </w:rPr>
        <w:t>产品的名称、品种、规格、数量和价格：详见附表（附表须双方加盖印章）</w:t>
      </w:r>
    </w:p>
    <w:p>
      <w:pPr>
        <w:spacing w:beforeLines="50" w:beforeAutospacing="1" w:afterLines="30" w:afterAutospacing="1" w:line="360" w:lineRule="auto"/>
        <w:rPr>
          <w:rFonts w:ascii="宋体"/>
          <w:sz w:val="24"/>
        </w:rPr>
      </w:pPr>
      <w:r>
        <w:rPr>
          <w:rFonts w:hint="eastAsia" w:ascii="宋体" w:hAnsi="宋体"/>
          <w:b/>
          <w:bCs/>
          <w:sz w:val="24"/>
        </w:rPr>
        <w:t>第二条</w:t>
      </w:r>
      <w:r>
        <w:rPr>
          <w:rFonts w:ascii="宋体" w:hAnsi="宋体"/>
          <w:b/>
          <w:bCs/>
          <w:sz w:val="24"/>
        </w:rPr>
        <w:t xml:space="preserve">  </w:t>
      </w:r>
      <w:r>
        <w:rPr>
          <w:rFonts w:hint="eastAsia" w:ascii="宋体" w:hAnsi="宋体"/>
          <w:sz w:val="24"/>
        </w:rPr>
        <w:t>产品的技术标准（包括质量要求），按下列第（1）（</w:t>
      </w:r>
      <w:r>
        <w:rPr>
          <w:rFonts w:ascii="宋体" w:hAnsi="宋体"/>
          <w:sz w:val="24"/>
        </w:rPr>
        <w:t>4</w:t>
      </w:r>
      <w:r>
        <w:rPr>
          <w:rFonts w:hint="eastAsia" w:ascii="宋体" w:hAnsi="宋体"/>
          <w:sz w:val="24"/>
        </w:rPr>
        <w:t>）项执行：</w:t>
      </w:r>
    </w:p>
    <w:p>
      <w:pPr>
        <w:spacing w:beforeLines="50" w:beforeAutospacing="1" w:afterLines="30" w:afterAutospacing="1"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）按国家标准执行；（</w:t>
      </w:r>
      <w:r>
        <w:rPr>
          <w:rFonts w:ascii="宋体" w:hAnsi="宋体"/>
          <w:sz w:val="24"/>
        </w:rPr>
        <w:t>2</w:t>
      </w:r>
      <w:r>
        <w:rPr>
          <w:rFonts w:hint="eastAsia" w:ascii="宋体" w:hAnsi="宋体"/>
          <w:sz w:val="24"/>
        </w:rPr>
        <w:t>）按部颁标准执行；（</w:t>
      </w:r>
      <w:r>
        <w:rPr>
          <w:rFonts w:ascii="宋体" w:hAnsi="宋体"/>
          <w:sz w:val="24"/>
        </w:rPr>
        <w:t>3</w:t>
      </w:r>
      <w:r>
        <w:rPr>
          <w:rFonts w:hint="eastAsia" w:ascii="宋体" w:hAnsi="宋体"/>
          <w:sz w:val="24"/>
        </w:rPr>
        <w:t>）若无以上标准，则应不低于同行业质量标准；（</w:t>
      </w:r>
      <w:r>
        <w:rPr>
          <w:rFonts w:ascii="宋体" w:hAnsi="宋体"/>
          <w:sz w:val="24"/>
        </w:rPr>
        <w:t>4</w:t>
      </w:r>
      <w:r>
        <w:rPr>
          <w:rFonts w:hint="eastAsia" w:ascii="宋体" w:hAnsi="宋体"/>
          <w:sz w:val="24"/>
        </w:rPr>
        <w:t>）有特殊要求的，按甲乙双方在合同中商定的技术条件、样品或补充的技术要求执行；</w:t>
      </w:r>
    </w:p>
    <w:p>
      <w:pPr>
        <w:spacing w:beforeLines="50" w:beforeAutospacing="1" w:afterLines="30" w:afterAutospacing="1" w:line="360" w:lineRule="auto"/>
        <w:ind w:firstLine="420"/>
        <w:rPr>
          <w:rFonts w:ascii="宋体"/>
          <w:sz w:val="24"/>
        </w:rPr>
      </w:pPr>
      <w:r>
        <w:rPr>
          <w:rFonts w:hint="eastAsia" w:ascii="宋体" w:hAnsi="宋体"/>
          <w:sz w:val="24"/>
        </w:rPr>
        <w:t>乙方提供和交付的货物技术标准应与招标文件规定的技术标准相一致。若技术标准中无相应规定，所投货物应符合相应的国际标准或原产地国家有关部门最新颁布的相应的正式标准。</w:t>
      </w:r>
    </w:p>
    <w:p>
      <w:pPr>
        <w:spacing w:beforeLines="50" w:beforeAutospacing="1" w:afterLines="30" w:afterAutospacing="1" w:line="360" w:lineRule="auto"/>
        <w:ind w:firstLine="460" w:firstLineChars="192"/>
        <w:rPr>
          <w:rFonts w:ascii="宋体"/>
          <w:sz w:val="24"/>
          <w:u w:val="single"/>
        </w:rPr>
      </w:pPr>
      <w:r>
        <w:rPr>
          <w:rFonts w:hint="eastAsia" w:ascii="宋体" w:hAnsi="宋体"/>
          <w:sz w:val="24"/>
        </w:rPr>
        <w:t>进口产品的质量标准为</w:t>
      </w:r>
      <w:r>
        <w:rPr>
          <w:rFonts w:ascii="宋体" w:hAnsi="宋体"/>
          <w:sz w:val="24"/>
          <w:u w:val="single"/>
        </w:rPr>
        <w:t xml:space="preserve">                                                               </w:t>
      </w:r>
    </w:p>
    <w:p>
      <w:pPr>
        <w:pStyle w:val="15"/>
        <w:spacing w:before="156" w:beforeAutospacing="1" w:afterLines="30" w:afterAutospacing="1" w:line="360" w:lineRule="auto"/>
        <w:ind w:left="0" w:leftChars="0" w:firstLine="420"/>
        <w:rPr>
          <w:rFonts w:ascii="宋体"/>
          <w:sz w:val="24"/>
        </w:rPr>
      </w:pPr>
      <w:r>
        <w:rPr>
          <w:rFonts w:hint="eastAsia" w:ascii="宋体" w:hAnsi="宋体"/>
          <w:sz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pStyle w:val="15"/>
        <w:spacing w:before="156" w:beforeAutospacing="1" w:afterLines="30" w:afterAutospacing="1" w:line="360" w:lineRule="auto"/>
        <w:ind w:left="0" w:leftChars="0"/>
        <w:rPr>
          <w:rFonts w:ascii="宋体"/>
          <w:sz w:val="24"/>
        </w:rPr>
      </w:pPr>
      <w:r>
        <w:rPr>
          <w:rFonts w:hint="eastAsia" w:ascii="宋体" w:hAnsi="宋体"/>
          <w:b/>
          <w:bCs/>
          <w:sz w:val="24"/>
        </w:rPr>
        <w:t>第三条</w:t>
      </w:r>
      <w:r>
        <w:rPr>
          <w:rFonts w:ascii="宋体" w:hAnsi="宋体"/>
          <w:b/>
          <w:bCs/>
          <w:sz w:val="24"/>
        </w:rPr>
        <w:t xml:space="preserve">  </w:t>
      </w:r>
      <w:r>
        <w:rPr>
          <w:rFonts w:hint="eastAsia" w:ascii="宋体" w:hAnsi="宋体"/>
          <w:sz w:val="24"/>
        </w:rPr>
        <w:t>产品的包装标准和包装物的供应与回收</w:t>
      </w:r>
      <w:r>
        <w:rPr>
          <w:rFonts w:hint="eastAsia" w:ascii="宋体" w:hAnsi="宋体"/>
          <w:sz w:val="24"/>
          <w:u w:val="single"/>
        </w:rPr>
        <w:t>原厂原包装，包装不回收</w:t>
      </w:r>
      <w:r>
        <w:rPr>
          <w:rFonts w:ascii="宋体"/>
          <w:sz w:val="24"/>
          <w:u w:val="single"/>
        </w:rPr>
        <w:t> </w:t>
      </w:r>
      <w:r>
        <w:rPr>
          <w:rFonts w:hint="eastAsia" w:ascii="宋体" w:hAnsi="宋体"/>
          <w:sz w:val="24"/>
        </w:rPr>
        <w:t>。乙方所供货物的制造商原装出厂包装箱与设备出场批号一致。</w:t>
      </w:r>
    </w:p>
    <w:p>
      <w:pPr>
        <w:spacing w:beforeLines="50" w:beforeAutospacing="1" w:afterLines="30" w:afterAutospacing="1" w:line="360" w:lineRule="auto"/>
        <w:rPr>
          <w:rFonts w:ascii="宋体"/>
          <w:sz w:val="24"/>
        </w:rPr>
      </w:pPr>
      <w:r>
        <w:rPr>
          <w:rFonts w:hint="eastAsia" w:ascii="宋体" w:hAnsi="宋体"/>
          <w:sz w:val="24"/>
        </w:rPr>
        <w:t>（国家或业务主管部门有技术规定的，按技术规定执行；国家与业务主管部门无技术规定的，由甲乙双方商定。）</w:t>
      </w:r>
    </w:p>
    <w:p>
      <w:pPr>
        <w:spacing w:beforeLines="50" w:beforeAutospacing="1" w:afterLines="30" w:afterAutospacing="1" w:line="360" w:lineRule="auto"/>
        <w:rPr>
          <w:rFonts w:ascii="宋体"/>
          <w:sz w:val="24"/>
        </w:rPr>
      </w:pPr>
      <w:r>
        <w:rPr>
          <w:rFonts w:hint="eastAsia" w:ascii="宋体" w:hAnsi="宋体"/>
          <w:sz w:val="24"/>
        </w:rPr>
        <w:t>【注：合同中约定的包装标准应与乙方在投标书中承诺的一致，且投标书应作为合同附件与合同具有同等法律效力。】</w:t>
      </w:r>
    </w:p>
    <w:p>
      <w:pPr>
        <w:spacing w:beforeLines="50" w:beforeAutospacing="1" w:afterLines="30" w:afterAutospacing="1" w:line="360" w:lineRule="auto"/>
        <w:ind w:firstLine="480" w:firstLineChars="200"/>
        <w:rPr>
          <w:rFonts w:ascii="宋体"/>
          <w:sz w:val="24"/>
        </w:rPr>
      </w:pPr>
      <w:r>
        <w:rPr>
          <w:rFonts w:hint="eastAsia" w:ascii="宋体" w:hAnsi="宋体"/>
          <w:sz w:val="24"/>
        </w:rPr>
        <w:t>包装必须与运输方式相适应，包装方式的确定及包装费用均由乙方负责，由于不适当的包装而造成货物在运输过程中有任何损坏、丢失由乙方负责。</w:t>
      </w:r>
    </w:p>
    <w:p>
      <w:pPr>
        <w:pStyle w:val="9"/>
        <w:kinsoku w:val="0"/>
        <w:overflowPunct w:val="0"/>
        <w:spacing w:after="0" w:line="360" w:lineRule="auto"/>
        <w:ind w:firstLine="420"/>
        <w:rPr>
          <w:rFonts w:ascii="宋体"/>
          <w:sz w:val="24"/>
        </w:rPr>
      </w:pPr>
      <w:r>
        <w:rPr>
          <w:rFonts w:hint="eastAsia" w:ascii="宋体" w:hAnsi="宋体"/>
          <w:sz w:val="24"/>
        </w:rPr>
        <w:t>货物在验收合格前的保险由乙方负责，并负责其派出的现场服务人员人身意外保险。</w:t>
      </w:r>
    </w:p>
    <w:p>
      <w:pPr>
        <w:spacing w:beforeLines="50" w:beforeAutospacing="1" w:afterLines="30" w:afterAutospacing="1"/>
        <w:rPr>
          <w:rFonts w:ascii="宋体"/>
          <w:sz w:val="24"/>
        </w:rPr>
      </w:pPr>
      <w:r>
        <w:rPr>
          <w:rFonts w:hint="eastAsia" w:ascii="宋体" w:hAnsi="宋体"/>
          <w:b/>
          <w:bCs/>
          <w:sz w:val="24"/>
        </w:rPr>
        <w:t>第四条</w:t>
      </w:r>
      <w:r>
        <w:rPr>
          <w:rFonts w:ascii="宋体" w:hAnsi="宋体"/>
          <w:b/>
          <w:bCs/>
          <w:sz w:val="24"/>
        </w:rPr>
        <w:t xml:space="preserve">  </w:t>
      </w:r>
      <w:r>
        <w:rPr>
          <w:rFonts w:hint="eastAsia" w:ascii="宋体" w:hAnsi="宋体"/>
          <w:sz w:val="24"/>
        </w:rPr>
        <w:t>产品的交货方法、到货地点和交货期限</w:t>
      </w:r>
    </w:p>
    <w:p>
      <w:pPr>
        <w:spacing w:line="400" w:lineRule="exact"/>
        <w:rPr>
          <w:rFonts w:ascii="宋体"/>
          <w:sz w:val="24"/>
        </w:rPr>
      </w:pPr>
      <w:r>
        <w:rPr>
          <w:rFonts w:ascii="宋体" w:hAnsi="宋体"/>
          <w:sz w:val="24"/>
        </w:rPr>
        <w:t>1.</w:t>
      </w:r>
      <w:r>
        <w:rPr>
          <w:rFonts w:hint="eastAsia" w:ascii="宋体" w:hAnsi="宋体"/>
          <w:sz w:val="24"/>
        </w:rPr>
        <w:t>交货方法，按下列第（</w:t>
      </w:r>
      <w:r>
        <w:rPr>
          <w:rFonts w:ascii="宋体" w:hAnsi="宋体"/>
          <w:sz w:val="24"/>
        </w:rPr>
        <w:t>1</w:t>
      </w:r>
      <w:r>
        <w:rPr>
          <w:rFonts w:hint="eastAsia" w:ascii="宋体" w:hAnsi="宋体"/>
          <w:sz w:val="24"/>
        </w:rPr>
        <w:t>）项执行：</w:t>
      </w:r>
    </w:p>
    <w:p>
      <w:pPr>
        <w:spacing w:line="400" w:lineRule="exact"/>
        <w:rPr>
          <w:rFonts w:ascii="宋体"/>
          <w:sz w:val="24"/>
        </w:rPr>
      </w:pPr>
      <w:r>
        <w:rPr>
          <w:rFonts w:hint="eastAsia" w:ascii="宋体"/>
          <w:sz w:val="24"/>
        </w:rPr>
        <w:t>(1)</w:t>
      </w:r>
      <w:r>
        <w:rPr>
          <w:rFonts w:hint="eastAsia" w:ascii="宋体" w:hAnsi="宋体"/>
          <w:sz w:val="24"/>
        </w:rPr>
        <w:t>乙方送货上门；（</w:t>
      </w:r>
      <w:r>
        <w:rPr>
          <w:rFonts w:ascii="宋体" w:hAnsi="宋体"/>
          <w:sz w:val="24"/>
        </w:rPr>
        <w:t>2</w:t>
      </w:r>
      <w:r>
        <w:rPr>
          <w:rFonts w:hint="eastAsia" w:ascii="宋体" w:hAnsi="宋体"/>
          <w:sz w:val="24"/>
        </w:rPr>
        <w:t>）乙方代运；（</w:t>
      </w:r>
      <w:r>
        <w:rPr>
          <w:rFonts w:ascii="宋体" w:hAnsi="宋体"/>
          <w:sz w:val="24"/>
        </w:rPr>
        <w:t>3</w:t>
      </w:r>
      <w:r>
        <w:rPr>
          <w:rFonts w:hint="eastAsia" w:ascii="宋体" w:hAnsi="宋体"/>
          <w:sz w:val="24"/>
        </w:rPr>
        <w:t>）甲方自提自运。</w:t>
      </w:r>
    </w:p>
    <w:p>
      <w:pPr>
        <w:spacing w:line="400" w:lineRule="exact"/>
        <w:rPr>
          <w:rFonts w:ascii="宋体"/>
          <w:sz w:val="24"/>
        </w:rPr>
      </w:pPr>
      <w:r>
        <w:rPr>
          <w:rFonts w:ascii="宋体" w:hAnsi="宋体"/>
          <w:sz w:val="24"/>
        </w:rPr>
        <w:t>2.</w:t>
      </w:r>
      <w:r>
        <w:rPr>
          <w:rFonts w:hint="eastAsia" w:ascii="宋体" w:hAnsi="宋体"/>
          <w:sz w:val="24"/>
        </w:rPr>
        <w:t>到货地点：</w:t>
      </w:r>
      <w:r>
        <w:rPr>
          <w:rFonts w:ascii="宋体"/>
          <w:sz w:val="24"/>
        </w:rPr>
        <w:softHyphen/>
      </w:r>
      <w:r>
        <w:rPr>
          <w:rFonts w:ascii="宋体"/>
          <w:sz w:val="24"/>
        </w:rPr>
        <w:softHyphen/>
      </w:r>
      <w:r>
        <w:rPr>
          <w:rFonts w:ascii="宋体"/>
          <w:sz w:val="24"/>
        </w:rPr>
        <w:softHyphen/>
      </w:r>
      <w:r>
        <w:rPr>
          <w:rFonts w:ascii="宋体"/>
          <w:sz w:val="24"/>
        </w:rPr>
        <w:softHyphen/>
      </w:r>
      <w:r>
        <w:rPr>
          <w:rFonts w:ascii="宋体"/>
          <w:sz w:val="24"/>
        </w:rPr>
        <w:softHyphen/>
      </w:r>
      <w:r>
        <w:rPr>
          <w:rFonts w:ascii="宋体"/>
          <w:sz w:val="24"/>
        </w:rPr>
        <w:softHyphen/>
      </w:r>
      <w:r>
        <w:rPr>
          <w:rFonts w:ascii="宋体"/>
          <w:sz w:val="24"/>
        </w:rPr>
        <w:softHyphen/>
      </w:r>
      <w:r>
        <w:rPr>
          <w:rFonts w:ascii="宋体"/>
          <w:sz w:val="24"/>
        </w:rPr>
        <w:softHyphen/>
      </w:r>
      <w:r>
        <w:rPr>
          <w:rFonts w:ascii="宋体"/>
          <w:sz w:val="24"/>
        </w:rPr>
        <w:softHyphen/>
      </w:r>
      <w:r>
        <w:rPr>
          <w:rFonts w:ascii="宋体"/>
          <w:sz w:val="24"/>
        </w:rPr>
        <w:softHyphen/>
      </w:r>
      <w:r>
        <w:rPr>
          <w:rFonts w:ascii="宋体" w:hAnsi="宋体"/>
          <w:sz w:val="24"/>
          <w:u w:val="single"/>
        </w:rPr>
        <w:t xml:space="preserve">                        (</w:t>
      </w:r>
      <w:r>
        <w:rPr>
          <w:rFonts w:hint="eastAsia" w:ascii="宋体" w:hAnsi="宋体"/>
          <w:sz w:val="24"/>
        </w:rPr>
        <w:t>安装并调试</w:t>
      </w:r>
      <w:r>
        <w:rPr>
          <w:rFonts w:ascii="宋体" w:hAnsi="宋体"/>
          <w:sz w:val="24"/>
        </w:rPr>
        <w:t>)</w:t>
      </w:r>
    </w:p>
    <w:p>
      <w:pPr>
        <w:spacing w:line="400" w:lineRule="exact"/>
        <w:rPr>
          <w:rFonts w:ascii="宋体"/>
          <w:sz w:val="24"/>
        </w:rPr>
      </w:pPr>
      <w:r>
        <w:rPr>
          <w:rFonts w:ascii="宋体" w:hAnsi="宋体"/>
          <w:sz w:val="24"/>
        </w:rPr>
        <w:t>3.</w:t>
      </w:r>
      <w:r>
        <w:rPr>
          <w:rFonts w:hint="eastAsia" w:ascii="宋体" w:hAnsi="宋体"/>
          <w:sz w:val="24"/>
        </w:rPr>
        <w:t>产品的交货期限：</w:t>
      </w:r>
      <w:r>
        <w:rPr>
          <w:rFonts w:ascii="宋体"/>
          <w:sz w:val="24"/>
          <w:u w:val="single"/>
        </w:rPr>
        <w:t>     </w:t>
      </w:r>
      <w:r>
        <w:rPr>
          <w:rFonts w:ascii="宋体" w:hAnsi="宋体"/>
          <w:sz w:val="24"/>
          <w:u w:val="single"/>
        </w:rPr>
        <w:t xml:space="preserve">                  </w:t>
      </w:r>
      <w:r>
        <w:rPr>
          <w:rFonts w:ascii="宋体"/>
          <w:sz w:val="24"/>
          <w:u w:val="single"/>
        </w:rPr>
        <w:t>   </w:t>
      </w:r>
      <w:r>
        <w:rPr>
          <w:rFonts w:hint="eastAsia" w:ascii="宋体" w:hAnsi="宋体"/>
          <w:sz w:val="24"/>
        </w:rPr>
        <w:t>。</w:t>
      </w:r>
    </w:p>
    <w:p>
      <w:pPr>
        <w:spacing w:line="400" w:lineRule="exact"/>
        <w:rPr>
          <w:rFonts w:ascii="宋体"/>
          <w:sz w:val="24"/>
        </w:rPr>
      </w:pPr>
      <w:r>
        <w:rPr>
          <w:rFonts w:hint="eastAsia" w:ascii="宋体"/>
          <w:sz w:val="24"/>
        </w:rPr>
        <w:t>4.安装调试期限：</w:t>
      </w:r>
      <w:r>
        <w:rPr>
          <w:rFonts w:ascii="宋体"/>
          <w:sz w:val="24"/>
          <w:u w:val="single"/>
        </w:rPr>
        <w:t>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sz w:val="24"/>
          <w:u w:val="single"/>
        </w:rPr>
        <w:t>   </w:t>
      </w:r>
      <w:r>
        <w:rPr>
          <w:rFonts w:hint="eastAsia" w:ascii="宋体" w:hAnsi="宋体"/>
          <w:sz w:val="24"/>
        </w:rPr>
        <w:t>。</w:t>
      </w:r>
    </w:p>
    <w:p>
      <w:pPr>
        <w:spacing w:beforeLines="50" w:beforeAutospacing="1" w:afterLines="30" w:afterAutospacing="1"/>
        <w:rPr>
          <w:rFonts w:ascii="宋体"/>
          <w:sz w:val="24"/>
        </w:rPr>
      </w:pPr>
      <w:r>
        <w:rPr>
          <w:rFonts w:hint="eastAsia" w:ascii="宋体" w:hAnsi="宋体"/>
          <w:b/>
          <w:bCs/>
          <w:sz w:val="24"/>
        </w:rPr>
        <w:t>第五条</w:t>
      </w:r>
      <w:r>
        <w:rPr>
          <w:rFonts w:ascii="宋体" w:hAnsi="宋体"/>
          <w:sz w:val="24"/>
        </w:rPr>
        <w:t xml:space="preserve">  </w:t>
      </w:r>
      <w:r>
        <w:rPr>
          <w:rFonts w:hint="eastAsia" w:ascii="宋体" w:hAnsi="宋体"/>
          <w:sz w:val="24"/>
        </w:rPr>
        <w:t xml:space="preserve">合同总价款  </w:t>
      </w:r>
    </w:p>
    <w:p>
      <w:pPr>
        <w:spacing w:line="420" w:lineRule="atLeast"/>
        <w:rPr>
          <w:rFonts w:ascii="宋体"/>
          <w:sz w:val="24"/>
          <w:u w:val="single"/>
        </w:rPr>
      </w:pPr>
      <w:r>
        <w:rPr>
          <w:rFonts w:hint="eastAsia" w:ascii="宋体" w:hAnsi="宋体"/>
          <w:sz w:val="24"/>
        </w:rPr>
        <w:t>合同总价款（大小写）：</w:t>
      </w:r>
      <w:r>
        <w:rPr>
          <w:rFonts w:ascii="宋体" w:hAnsi="宋体"/>
          <w:sz w:val="24"/>
          <w:u w:val="single"/>
        </w:rPr>
        <w:t xml:space="preserve">                                    </w:t>
      </w:r>
    </w:p>
    <w:p>
      <w:pPr>
        <w:spacing w:line="420" w:lineRule="atLeast"/>
        <w:ind w:firstLine="420"/>
        <w:rPr>
          <w:rFonts w:ascii="宋体"/>
          <w:sz w:val="24"/>
        </w:rPr>
      </w:pPr>
      <w:r>
        <w:rPr>
          <w:rFonts w:hint="eastAsia" w:ascii="宋体" w:hAnsi="宋体"/>
          <w:sz w:val="24"/>
        </w:rPr>
        <w:t>合同总价款包含货物及所需附件购置费、包装费、运输费、人工费、保险费、安装调试费、各种税费、资料费、售后服务费、技术服务与支持费及合同实施过程中的不可预见费用等全部费用。除上述费用外，甲方无需为履行本合同承担其他任何费用。</w:t>
      </w:r>
    </w:p>
    <w:p>
      <w:pPr>
        <w:numPr>
          <w:ilvl w:val="0"/>
          <w:numId w:val="3"/>
        </w:numPr>
        <w:spacing w:beforeLines="50" w:beforeAutospacing="1" w:afterLines="30" w:afterAutospacing="1"/>
        <w:rPr>
          <w:rFonts w:ascii="宋体"/>
          <w:sz w:val="24"/>
        </w:rPr>
      </w:pPr>
      <w:r>
        <w:rPr>
          <w:rFonts w:hint="eastAsia" w:ascii="宋体" w:hAnsi="宋体"/>
          <w:sz w:val="24"/>
        </w:rPr>
        <w:t>付款条件</w:t>
      </w:r>
      <w:r>
        <w:rPr>
          <w:rFonts w:ascii="宋体" w:hAnsi="宋体"/>
          <w:sz w:val="24"/>
        </w:rPr>
        <w:t xml:space="preserve"> </w:t>
      </w:r>
    </w:p>
    <w:p>
      <w:pPr>
        <w:ind w:firstLine="448" w:firstLineChars="187"/>
        <w:rPr>
          <w:rFonts w:ascii="宋体"/>
          <w:sz w:val="24"/>
        </w:rPr>
      </w:pPr>
      <w:r>
        <w:rPr>
          <w:rFonts w:ascii="宋体" w:hAnsi="宋体"/>
          <w:sz w:val="24"/>
        </w:rPr>
        <w:t>1.</w:t>
      </w:r>
      <w:r>
        <w:rPr>
          <w:rFonts w:hint="eastAsia" w:ascii="宋体" w:hAnsi="宋体"/>
          <w:sz w:val="24"/>
        </w:rPr>
        <w:t>本合同以人民币付款。</w:t>
      </w:r>
    </w:p>
    <w:p>
      <w:pPr>
        <w:spacing w:beforeLines="50" w:beforeAutospacing="1" w:afterLines="30" w:afterAutospacing="1" w:line="360" w:lineRule="auto"/>
        <w:ind w:firstLine="420"/>
        <w:rPr>
          <w:rFonts w:ascii="宋体"/>
          <w:sz w:val="24"/>
          <w:u w:val="single"/>
        </w:rPr>
      </w:pPr>
      <w:r>
        <w:rPr>
          <w:rFonts w:ascii="宋体" w:hAnsi="宋体"/>
          <w:sz w:val="24"/>
        </w:rPr>
        <w:t>2.</w:t>
      </w:r>
      <w:r>
        <w:rPr>
          <w:rFonts w:hint="eastAsia" w:ascii="宋体" w:hAnsi="宋体"/>
          <w:sz w:val="24"/>
        </w:rPr>
        <w:t>具体付款方式：</w:t>
      </w:r>
      <w:r>
        <w:rPr>
          <w:rFonts w:hint="eastAsia" w:ascii="宋体" w:hAnsi="Arial"/>
          <w:sz w:val="24"/>
          <w:u w:val="single"/>
        </w:rPr>
        <w:t>货物到场验收合格后支付相应货款的</w:t>
      </w:r>
      <w:r>
        <w:rPr>
          <w:rFonts w:ascii="宋体" w:hAnsi="Arial"/>
          <w:sz w:val="24"/>
          <w:u w:val="single"/>
        </w:rPr>
        <w:t xml:space="preserve"> 30%</w:t>
      </w:r>
      <w:r>
        <w:rPr>
          <w:rFonts w:hint="eastAsia" w:ascii="宋体" w:hAnsi="Arial"/>
          <w:sz w:val="24"/>
          <w:u w:val="single"/>
        </w:rPr>
        <w:t>，项目整体验收合格后支付至合同额的</w:t>
      </w:r>
      <w:r>
        <w:rPr>
          <w:rFonts w:ascii="宋体" w:hAnsi="Arial"/>
          <w:sz w:val="24"/>
          <w:u w:val="single"/>
        </w:rPr>
        <w:t xml:space="preserve"> 60%</w:t>
      </w:r>
      <w:r>
        <w:rPr>
          <w:rFonts w:hint="eastAsia" w:ascii="宋体" w:hAnsi="Arial"/>
          <w:sz w:val="24"/>
          <w:u w:val="single"/>
        </w:rPr>
        <w:t>，决算审计后付至审计额的</w:t>
      </w:r>
      <w:r>
        <w:rPr>
          <w:rFonts w:ascii="宋体" w:hAnsi="Arial"/>
          <w:sz w:val="24"/>
          <w:u w:val="single"/>
        </w:rPr>
        <w:t>97%</w:t>
      </w:r>
      <w:r>
        <w:rPr>
          <w:rFonts w:hint="eastAsia" w:ascii="宋体" w:hAnsi="Arial"/>
          <w:sz w:val="24"/>
          <w:u w:val="single"/>
        </w:rPr>
        <w:t>，余款作为质保金，质保期满（</w:t>
      </w:r>
      <w:r>
        <w:rPr>
          <w:rFonts w:ascii="宋体" w:hAnsi="Arial"/>
          <w:sz w:val="24"/>
          <w:u w:val="single"/>
        </w:rPr>
        <w:t xml:space="preserve">2 </w:t>
      </w:r>
      <w:r>
        <w:rPr>
          <w:rFonts w:hint="eastAsia" w:ascii="宋体" w:hAnsi="Arial"/>
          <w:sz w:val="24"/>
          <w:u w:val="single"/>
        </w:rPr>
        <w:t>年）后</w:t>
      </w:r>
      <w:r>
        <w:rPr>
          <w:rFonts w:ascii="宋体" w:hAnsi="Arial"/>
          <w:sz w:val="24"/>
          <w:u w:val="single"/>
        </w:rPr>
        <w:t xml:space="preserve"> 15 </w:t>
      </w:r>
      <w:r>
        <w:rPr>
          <w:rFonts w:hint="eastAsia" w:ascii="宋体" w:hAnsi="Arial"/>
          <w:sz w:val="24"/>
          <w:u w:val="single"/>
        </w:rPr>
        <w:t>个工作日内付清。</w:t>
      </w:r>
      <w:r>
        <w:rPr>
          <w:rFonts w:ascii="宋体" w:hAnsi="宋体"/>
          <w:sz w:val="24"/>
          <w:u w:val="single"/>
        </w:rPr>
        <w:t xml:space="preserve"> </w:t>
      </w:r>
    </w:p>
    <w:p>
      <w:pPr>
        <w:spacing w:line="460" w:lineRule="exact"/>
        <w:ind w:firstLine="420"/>
        <w:rPr>
          <w:rFonts w:ascii="宋体"/>
          <w:sz w:val="24"/>
        </w:rPr>
      </w:pPr>
      <w:r>
        <w:rPr>
          <w:rFonts w:ascii="宋体" w:hAnsi="宋体"/>
          <w:sz w:val="24"/>
        </w:rPr>
        <w:t xml:space="preserve">3. </w:t>
      </w:r>
      <w:r>
        <w:rPr>
          <w:rFonts w:hint="eastAsia" w:ascii="宋体" w:hAnsi="宋体"/>
          <w:sz w:val="24"/>
        </w:rPr>
        <w:t>税率要求：货物、设备采购合计金额</w:t>
      </w:r>
      <w:r>
        <w:rPr>
          <w:rFonts w:ascii="宋体" w:hAnsi="宋体"/>
          <w:sz w:val="24"/>
          <w:u w:val="single"/>
        </w:rPr>
        <w:t xml:space="preserve"> </w:t>
      </w:r>
      <w:r>
        <w:rPr>
          <w:rFonts w:ascii="宋体" w:hAnsi="宋体" w:cs="宋体"/>
          <w:b/>
          <w:bCs/>
          <w:kern w:val="0"/>
          <w:sz w:val="24"/>
          <w:u w:val="single"/>
        </w:rPr>
        <w:t xml:space="preserve">      </w:t>
      </w:r>
      <w:r>
        <w:rPr>
          <w:rFonts w:ascii="宋体" w:hAnsi="宋体"/>
          <w:sz w:val="24"/>
          <w:u w:val="single"/>
        </w:rPr>
        <w:t xml:space="preserve"> </w:t>
      </w:r>
      <w:r>
        <w:rPr>
          <w:rFonts w:hint="eastAsia" w:ascii="宋体" w:hAnsi="宋体"/>
          <w:sz w:val="24"/>
        </w:rPr>
        <w:t>元，开具</w:t>
      </w: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的增值税专用发票；安装费合计</w:t>
      </w:r>
      <w:r>
        <w:rPr>
          <w:rFonts w:ascii="宋体" w:hAnsi="宋体"/>
          <w:sz w:val="24"/>
          <w:u w:val="single"/>
        </w:rPr>
        <w:t xml:space="preserve">        </w:t>
      </w:r>
      <w:r>
        <w:rPr>
          <w:rFonts w:hint="eastAsia" w:ascii="宋体" w:hAnsi="宋体"/>
          <w:sz w:val="24"/>
        </w:rPr>
        <w:t>元，开具9</w:t>
      </w:r>
      <w:r>
        <w:rPr>
          <w:rFonts w:ascii="宋体" w:hAnsi="宋体"/>
          <w:sz w:val="24"/>
        </w:rPr>
        <w:t>%</w:t>
      </w:r>
      <w:r>
        <w:rPr>
          <w:rFonts w:hint="eastAsia" w:ascii="宋体" w:hAnsi="宋体"/>
          <w:sz w:val="24"/>
        </w:rPr>
        <w:t>的增值税专用发票。</w:t>
      </w:r>
    </w:p>
    <w:p>
      <w:pPr>
        <w:spacing w:line="460" w:lineRule="exact"/>
        <w:ind w:firstLine="420"/>
        <w:rPr>
          <w:rFonts w:ascii="宋体" w:cs="Arial Unicode MS"/>
          <w:sz w:val="24"/>
        </w:rPr>
      </w:pPr>
      <w:r>
        <w:rPr>
          <w:rFonts w:ascii="宋体" w:hAnsi="宋体"/>
          <w:sz w:val="24"/>
        </w:rPr>
        <w:t xml:space="preserve">4. </w:t>
      </w:r>
      <w:r>
        <w:rPr>
          <w:rFonts w:hint="eastAsia" w:ascii="宋体" w:hAnsi="宋体"/>
          <w:sz w:val="24"/>
        </w:rPr>
        <w:t>每次付款前乙方需向甲方提供对应等额增值税专用发票</w:t>
      </w:r>
      <w:r>
        <w:rPr>
          <w:rFonts w:hint="eastAsia" w:ascii="宋体" w:hAnsi="宋体" w:cs="宋体"/>
          <w:kern w:val="0"/>
          <w:sz w:val="24"/>
        </w:rPr>
        <w:t>,否则甲方有权拒绝付款且不视为违规。</w:t>
      </w:r>
    </w:p>
    <w:p>
      <w:pPr>
        <w:numPr>
          <w:ilvl w:val="0"/>
          <w:numId w:val="3"/>
        </w:numPr>
        <w:spacing w:beforeLines="50" w:beforeAutospacing="1" w:afterLines="30" w:afterAutospacing="1" w:line="360" w:lineRule="auto"/>
        <w:rPr>
          <w:rFonts w:ascii="宋体"/>
          <w:sz w:val="24"/>
        </w:rPr>
      </w:pPr>
      <w:r>
        <w:rPr>
          <w:rFonts w:hint="eastAsia" w:ascii="宋体" w:hAnsi="宋体"/>
          <w:sz w:val="24"/>
        </w:rPr>
        <w:t>验收方法</w:t>
      </w:r>
    </w:p>
    <w:p>
      <w:pPr>
        <w:spacing w:beforeLines="50" w:beforeAutospacing="1" w:afterLines="30" w:afterAutospacing="1" w:line="360" w:lineRule="auto"/>
        <w:ind w:firstLine="420"/>
        <w:rPr>
          <w:rFonts w:ascii="宋体"/>
          <w:sz w:val="24"/>
        </w:rPr>
      </w:pPr>
      <w:r>
        <w:rPr>
          <w:rFonts w:ascii="宋体" w:hAnsi="宋体"/>
          <w:sz w:val="24"/>
        </w:rPr>
        <w:t>1.</w:t>
      </w:r>
      <w:r>
        <w:rPr>
          <w:rFonts w:hint="eastAsia" w:ascii="宋体" w:hAnsi="宋体"/>
          <w:sz w:val="24"/>
        </w:rPr>
        <w:t>乙方安装调试后，在</w:t>
      </w:r>
      <w:r>
        <w:rPr>
          <w:rFonts w:ascii="宋体" w:hAnsi="宋体"/>
          <w:sz w:val="24"/>
          <w:u w:val="single"/>
        </w:rPr>
        <w:t xml:space="preserve">  15   </w:t>
      </w:r>
      <w:r>
        <w:rPr>
          <w:rFonts w:hint="eastAsia" w:ascii="宋体" w:hAnsi="宋体"/>
          <w:sz w:val="24"/>
        </w:rPr>
        <w:t>天内通知甲方组织验收。验收不合格的，乙方应负责重新提供达到本合同约定的质量要求的产品。</w:t>
      </w:r>
    </w:p>
    <w:p>
      <w:pPr>
        <w:pStyle w:val="10"/>
        <w:spacing w:before="100" w:beforeAutospacing="1" w:afterLines="30" w:afterAutospacing="1" w:line="360" w:lineRule="auto"/>
        <w:ind w:left="0" w:leftChars="0" w:firstLine="420"/>
        <w:rPr>
          <w:rFonts w:ascii="宋体" w:hAnsi="Arial"/>
          <w:sz w:val="24"/>
        </w:rPr>
      </w:pPr>
      <w:r>
        <w:rPr>
          <w:rFonts w:ascii="宋体" w:hAnsi="Arial"/>
          <w:sz w:val="24"/>
        </w:rPr>
        <w:t>2.</w:t>
      </w:r>
      <w:r>
        <w:rPr>
          <w:rFonts w:hint="eastAsia" w:ascii="宋体" w:hAnsi="Arial"/>
          <w:sz w:val="24"/>
        </w:rPr>
        <w:t>甲方验收时，应成立三人以上（由甲、乙双方、甲方资产管理人、技术人员等相关人员组成）验收小组，明确责任，严格依照招标文件、中标（成交）通知书、合同及相关验收规范进行核对、验收，形成验收结论，并出具书面验收报告。</w:t>
      </w:r>
    </w:p>
    <w:p>
      <w:pPr>
        <w:pStyle w:val="10"/>
        <w:spacing w:before="100" w:beforeAutospacing="1" w:afterLines="30" w:afterAutospacing="1" w:line="360" w:lineRule="auto"/>
        <w:ind w:left="0" w:leftChars="0" w:firstLine="420"/>
        <w:rPr>
          <w:rFonts w:ascii="宋体" w:hAnsi="Arial"/>
          <w:sz w:val="24"/>
        </w:rPr>
      </w:pPr>
      <w:r>
        <w:rPr>
          <w:rFonts w:ascii="宋体" w:hAnsi="Arial"/>
          <w:sz w:val="24"/>
        </w:rPr>
        <w:t>3.</w:t>
      </w:r>
      <w:r>
        <w:rPr>
          <w:rFonts w:hint="eastAsia" w:ascii="宋体" w:hAnsi="Arial"/>
          <w:sz w:val="24"/>
        </w:rPr>
        <w:t>涉及安全、消防、环保等其他需要由质检或行业主管部门进行验收的项目，必须邀请相关部门或相关专家参与验收。</w:t>
      </w:r>
    </w:p>
    <w:p>
      <w:pPr>
        <w:spacing w:beforeLines="50" w:beforeAutospacing="1" w:afterLines="30" w:afterAutospacing="1" w:line="360" w:lineRule="auto"/>
        <w:ind w:firstLine="420"/>
        <w:rPr>
          <w:rFonts w:ascii="宋体"/>
          <w:sz w:val="24"/>
        </w:rPr>
      </w:pPr>
      <w:r>
        <w:rPr>
          <w:rFonts w:ascii="宋体" w:hAnsi="宋体"/>
          <w:sz w:val="24"/>
          <w:szCs w:val="27"/>
        </w:rPr>
        <w:t>4.</w:t>
      </w:r>
      <w:r>
        <w:rPr>
          <w:rFonts w:hint="eastAsia" w:ascii="宋体" w:hAnsi="宋体"/>
          <w:sz w:val="24"/>
          <w:szCs w:val="27"/>
        </w:rPr>
        <w:t>检测、验收费用均由乙方承担。</w:t>
      </w:r>
    </w:p>
    <w:p>
      <w:pPr>
        <w:pStyle w:val="10"/>
        <w:spacing w:before="156" w:beforeAutospacing="1" w:afterLines="30" w:afterAutospacing="1" w:line="360" w:lineRule="auto"/>
        <w:ind w:firstLine="540"/>
        <w:rPr>
          <w:rFonts w:ascii="宋体"/>
          <w:b/>
          <w:bCs/>
          <w:sz w:val="24"/>
        </w:rPr>
      </w:pPr>
      <w:r>
        <w:rPr>
          <w:rFonts w:hint="eastAsia" w:ascii="宋体" w:hAnsi="宋体"/>
          <w:b/>
          <w:bCs/>
          <w:sz w:val="24"/>
        </w:rPr>
        <w:t>甲、乙双方应严格履行合同有关条款，如果验收过程中发现乙方擅自变更合同标的物，将拒绝通过验收，由此引起的一后果及损失由乙方承担。</w:t>
      </w:r>
    </w:p>
    <w:p>
      <w:pPr>
        <w:spacing w:beforeLines="50" w:beforeAutospacing="1" w:afterLines="30" w:afterAutospacing="1" w:line="360" w:lineRule="auto"/>
        <w:rPr>
          <w:rFonts w:ascii="宋体"/>
          <w:sz w:val="24"/>
        </w:rPr>
      </w:pPr>
      <w:r>
        <w:rPr>
          <w:rFonts w:hint="eastAsia" w:ascii="宋体" w:hAnsi="宋体"/>
          <w:b/>
          <w:bCs/>
          <w:sz w:val="24"/>
        </w:rPr>
        <w:t>第八条</w:t>
      </w:r>
      <w:r>
        <w:rPr>
          <w:rFonts w:ascii="宋体"/>
          <w:b/>
          <w:bCs/>
          <w:sz w:val="24"/>
        </w:rPr>
        <w:t> </w:t>
      </w:r>
      <w:r>
        <w:rPr>
          <w:rFonts w:ascii="宋体" w:hAnsi="宋体"/>
          <w:sz w:val="24"/>
        </w:rPr>
        <w:t xml:space="preserve"> </w:t>
      </w:r>
      <w:r>
        <w:rPr>
          <w:rFonts w:hint="eastAsia" w:ascii="宋体" w:hAnsi="宋体"/>
          <w:sz w:val="24"/>
        </w:rPr>
        <w:t>对产品提出异议的时间和办法</w:t>
      </w:r>
    </w:p>
    <w:p>
      <w:pPr>
        <w:spacing w:beforeLines="50" w:beforeAutospacing="1" w:afterLines="30" w:afterAutospacing="1" w:line="360" w:lineRule="auto"/>
        <w:ind w:firstLine="420"/>
        <w:rPr>
          <w:rFonts w:ascii="宋体"/>
          <w:sz w:val="24"/>
        </w:rPr>
      </w:pPr>
      <w:r>
        <w:rPr>
          <w:rFonts w:ascii="宋体" w:hAnsi="宋体"/>
          <w:sz w:val="24"/>
        </w:rPr>
        <w:t>1.</w:t>
      </w:r>
      <w:r>
        <w:rPr>
          <w:rFonts w:hint="eastAsia" w:ascii="宋体" w:hAnsi="宋体"/>
          <w:sz w:val="24"/>
        </w:rPr>
        <w:t>甲方在验收中，如果发现产品不符合合同约定的，应一面妥为保管，一面在</w:t>
      </w:r>
      <w:r>
        <w:rPr>
          <w:rFonts w:ascii="宋体" w:hAnsi="宋体"/>
          <w:sz w:val="24"/>
          <w:u w:val="single"/>
        </w:rPr>
        <w:t xml:space="preserve">  7  </w:t>
      </w:r>
      <w:r>
        <w:rPr>
          <w:rFonts w:hint="eastAsia" w:ascii="宋体" w:hAnsi="宋体"/>
          <w:sz w:val="24"/>
        </w:rPr>
        <w:t>个工作日内向乙方书面提出异议。具体说明产品不符合规定的内容并附相关验收材料，同时提出不符合规定产品的处理意见。</w:t>
      </w:r>
    </w:p>
    <w:p>
      <w:pPr>
        <w:spacing w:beforeLines="50" w:beforeAutospacing="1" w:afterLines="30" w:afterAutospacing="1" w:line="360" w:lineRule="auto"/>
        <w:ind w:firstLine="420"/>
        <w:rPr>
          <w:rFonts w:ascii="宋体"/>
          <w:sz w:val="24"/>
        </w:rPr>
      </w:pPr>
      <w:r>
        <w:rPr>
          <w:rFonts w:ascii="宋体" w:hAnsi="宋体"/>
          <w:sz w:val="24"/>
        </w:rPr>
        <w:t>2.</w:t>
      </w:r>
      <w:r>
        <w:rPr>
          <w:rFonts w:hint="eastAsia" w:ascii="宋体" w:hAnsi="宋体"/>
          <w:sz w:val="24"/>
        </w:rPr>
        <w:t>乙方在接到甲方异议后，应在</w:t>
      </w:r>
      <w:r>
        <w:rPr>
          <w:rFonts w:ascii="宋体" w:hAnsi="宋体"/>
          <w:sz w:val="24"/>
          <w:u w:val="single"/>
        </w:rPr>
        <w:t xml:space="preserve">   7   </w:t>
      </w:r>
      <w:r>
        <w:rPr>
          <w:rFonts w:hint="eastAsia" w:ascii="宋体" w:hAnsi="宋体"/>
          <w:sz w:val="24"/>
        </w:rPr>
        <w:t>工作日内负责处理，否则，即视为默认甲方提出的异议和处理意见。</w:t>
      </w:r>
    </w:p>
    <w:p>
      <w:pPr>
        <w:spacing w:beforeLines="50" w:beforeAutospacing="1" w:afterLines="30" w:afterAutospacing="1" w:line="360" w:lineRule="auto"/>
        <w:rPr>
          <w:rFonts w:ascii="宋体"/>
          <w:sz w:val="24"/>
        </w:rPr>
      </w:pPr>
      <w:r>
        <w:rPr>
          <w:rFonts w:hint="eastAsia" w:ascii="宋体" w:hAnsi="宋体"/>
          <w:b/>
          <w:bCs/>
          <w:sz w:val="24"/>
        </w:rPr>
        <w:t>第九条</w:t>
      </w:r>
      <w:r>
        <w:rPr>
          <w:rFonts w:ascii="宋体" w:hAnsi="宋体"/>
          <w:sz w:val="24"/>
        </w:rPr>
        <w:t xml:space="preserve">  </w:t>
      </w:r>
      <w:r>
        <w:rPr>
          <w:rFonts w:hint="eastAsia" w:ascii="宋体" w:hAnsi="宋体"/>
          <w:sz w:val="24"/>
        </w:rPr>
        <w:t>乙方应提供完善周到的技术支持和售后服务，否则甲方有权视情节轻重从乙方的履约保证金中扣除部分或全部补偿甲方。</w:t>
      </w:r>
    </w:p>
    <w:p>
      <w:pPr>
        <w:spacing w:beforeLines="50" w:beforeAutospacing="1" w:afterLines="30" w:afterAutospacing="1" w:line="360" w:lineRule="auto"/>
        <w:ind w:firstLine="420"/>
        <w:rPr>
          <w:rFonts w:ascii="宋体"/>
          <w:sz w:val="24"/>
        </w:rPr>
      </w:pPr>
      <w:r>
        <w:rPr>
          <w:rFonts w:hint="eastAsia" w:ascii="宋体" w:hAnsi="宋体"/>
          <w:sz w:val="24"/>
        </w:rPr>
        <w:t>（</w:t>
      </w:r>
      <w:r>
        <w:rPr>
          <w:rFonts w:ascii="宋体" w:hAnsi="宋体"/>
          <w:sz w:val="24"/>
        </w:rPr>
        <w:t>1</w:t>
      </w:r>
      <w:r>
        <w:rPr>
          <w:rFonts w:hint="eastAsia" w:ascii="宋体" w:hAnsi="宋体"/>
          <w:sz w:val="24"/>
        </w:rPr>
        <w:t>）保修</w:t>
      </w:r>
    </w:p>
    <w:p>
      <w:pPr>
        <w:spacing w:beforeLines="50" w:beforeAutospacing="1" w:afterLines="30" w:afterAutospacing="1" w:line="360" w:lineRule="auto"/>
        <w:ind w:firstLine="460" w:firstLineChars="192"/>
        <w:rPr>
          <w:rFonts w:ascii="宋体"/>
          <w:sz w:val="24"/>
        </w:rPr>
      </w:pPr>
      <w:r>
        <w:rPr>
          <w:rFonts w:hint="eastAsia" w:ascii="宋体" w:hAnsi="宋体"/>
          <w:sz w:val="24"/>
        </w:rPr>
        <w:t>乙方对其所提供的货物免费保修</w:t>
      </w:r>
      <w:r>
        <w:rPr>
          <w:rFonts w:ascii="宋体" w:hAnsi="宋体"/>
          <w:sz w:val="24"/>
          <w:u w:val="single"/>
        </w:rPr>
        <w:t xml:space="preserve">  </w:t>
      </w:r>
      <w:r>
        <w:rPr>
          <w:rFonts w:hint="eastAsia" w:ascii="宋体" w:hAnsi="宋体"/>
          <w:sz w:val="24"/>
          <w:u w:val="single"/>
        </w:rPr>
        <w:t>贰</w:t>
      </w:r>
      <w:r>
        <w:rPr>
          <w:rFonts w:ascii="宋体" w:hAnsi="宋体"/>
          <w:sz w:val="24"/>
          <w:u w:val="single"/>
        </w:rPr>
        <w:t xml:space="preserve">  </w:t>
      </w:r>
      <w:r>
        <w:rPr>
          <w:rFonts w:hint="eastAsia" w:ascii="宋体" w:hAnsi="宋体"/>
          <w:sz w:val="24"/>
        </w:rPr>
        <w:t>年，保修期从</w:t>
      </w:r>
      <w:r>
        <w:rPr>
          <w:rFonts w:ascii="宋体" w:hAnsi="宋体"/>
          <w:sz w:val="24"/>
          <w:u w:val="single"/>
        </w:rPr>
        <w:t xml:space="preserve">  </w:t>
      </w:r>
      <w:r>
        <w:rPr>
          <w:rFonts w:hint="eastAsia" w:ascii="宋体" w:hAnsi="宋体"/>
          <w:sz w:val="24"/>
          <w:u w:val="single"/>
        </w:rPr>
        <w:t>竣工验收合格之日</w:t>
      </w:r>
      <w:r>
        <w:rPr>
          <w:rFonts w:ascii="宋体" w:hAnsi="宋体"/>
          <w:sz w:val="24"/>
          <w:u w:val="single"/>
        </w:rPr>
        <w:t xml:space="preserve"> </w:t>
      </w:r>
      <w:r>
        <w:rPr>
          <w:rFonts w:hint="eastAsia" w:ascii="宋体" w:hAnsi="宋体"/>
          <w:sz w:val="24"/>
        </w:rPr>
        <w:t>开始起算。乙方应在接到报修通知后</w:t>
      </w:r>
      <w:r>
        <w:rPr>
          <w:rFonts w:ascii="宋体" w:hAnsi="宋体"/>
          <w:sz w:val="24"/>
          <w:u w:val="single"/>
        </w:rPr>
        <w:t xml:space="preserve">   1   </w:t>
      </w:r>
      <w:r>
        <w:rPr>
          <w:rFonts w:hint="eastAsia" w:ascii="宋体" w:hAnsi="宋体"/>
          <w:sz w:val="24"/>
        </w:rPr>
        <w:t>天内上门维修，负责更换有瑕疵的货物、部件或提供相应的质量保证期内的服务。由此造成的损失，甲方保留索赔的权利。</w:t>
      </w:r>
    </w:p>
    <w:p>
      <w:pPr>
        <w:spacing w:beforeLines="50" w:beforeAutospacing="1" w:afterLines="30" w:afterAutospacing="1" w:line="360" w:lineRule="auto"/>
        <w:ind w:firstLine="460" w:firstLineChars="192"/>
        <w:rPr>
          <w:rFonts w:ascii="宋体"/>
          <w:sz w:val="24"/>
        </w:rPr>
      </w:pPr>
      <w:r>
        <w:rPr>
          <w:rFonts w:hint="eastAsia" w:ascii="宋体" w:hAnsi="宋体"/>
          <w:sz w:val="24"/>
        </w:rPr>
        <w:t>如果乙方在收到报修通知后</w:t>
      </w:r>
      <w:r>
        <w:rPr>
          <w:rFonts w:ascii="宋体" w:hAnsi="宋体"/>
          <w:sz w:val="24"/>
          <w:u w:val="single"/>
        </w:rPr>
        <w:t xml:space="preserve">   3   </w:t>
      </w:r>
      <w:r>
        <w:rPr>
          <w:rFonts w:hint="eastAsia" w:ascii="宋体" w:hAnsi="宋体"/>
          <w:sz w:val="24"/>
        </w:rPr>
        <w:t>天内没有弥补缺陷，甲方可采取必要的补救措施，但费用和风险由乙方承担。</w:t>
      </w:r>
    </w:p>
    <w:p>
      <w:pPr>
        <w:spacing w:beforeLines="50" w:beforeAutospacing="1" w:afterLines="30" w:afterAutospacing="1"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）维修</w:t>
      </w:r>
    </w:p>
    <w:p>
      <w:pPr>
        <w:pStyle w:val="15"/>
        <w:spacing w:before="156" w:beforeAutospacing="1" w:afterLines="30" w:afterAutospacing="1" w:line="360" w:lineRule="auto"/>
        <w:ind w:left="0" w:leftChars="0" w:firstLine="420"/>
        <w:rPr>
          <w:rFonts w:ascii="宋体"/>
          <w:sz w:val="24"/>
        </w:rPr>
      </w:pPr>
      <w:r>
        <w:rPr>
          <w:rFonts w:hint="eastAsia" w:ascii="宋体" w:hAnsi="宋体"/>
          <w:sz w:val="24"/>
        </w:rPr>
        <w:t>保修期届满后，乙方应对其提供的货物负有维修维保义务，但所涉及的费用由甲方承担。</w:t>
      </w:r>
    </w:p>
    <w:p>
      <w:pPr>
        <w:spacing w:beforeLines="50" w:beforeAutospacing="1" w:afterLines="30" w:afterAutospacing="1" w:line="360" w:lineRule="auto"/>
        <w:rPr>
          <w:rFonts w:ascii="宋体"/>
          <w:sz w:val="24"/>
        </w:rPr>
      </w:pPr>
      <w:r>
        <w:rPr>
          <w:rFonts w:hint="eastAsia" w:ascii="宋体" w:hAnsi="宋体"/>
          <w:b/>
          <w:bCs/>
          <w:sz w:val="24"/>
        </w:rPr>
        <w:t>第十条</w:t>
      </w:r>
      <w:r>
        <w:rPr>
          <w:rFonts w:ascii="宋体"/>
          <w:sz w:val="24"/>
        </w:rPr>
        <w:t> </w:t>
      </w:r>
      <w:r>
        <w:rPr>
          <w:rFonts w:ascii="宋体" w:hAnsi="宋体"/>
          <w:sz w:val="24"/>
        </w:rPr>
        <w:t xml:space="preserve"> </w:t>
      </w:r>
      <w:r>
        <w:rPr>
          <w:rFonts w:hint="eastAsia" w:ascii="宋体" w:hAnsi="宋体"/>
          <w:sz w:val="24"/>
        </w:rPr>
        <w:t>乙方的违约责任</w:t>
      </w:r>
    </w:p>
    <w:p>
      <w:pPr>
        <w:spacing w:beforeLines="50" w:beforeAutospacing="1" w:afterLines="30" w:afterAutospacing="1" w:line="360" w:lineRule="auto"/>
        <w:ind w:firstLine="420"/>
        <w:rPr>
          <w:rFonts w:ascii="宋体"/>
          <w:sz w:val="24"/>
        </w:rPr>
      </w:pPr>
      <w:r>
        <w:rPr>
          <w:rFonts w:ascii="宋体" w:hAnsi="宋体"/>
          <w:sz w:val="24"/>
        </w:rPr>
        <w:t>1.</w:t>
      </w:r>
      <w:r>
        <w:rPr>
          <w:rFonts w:hint="eastAsia" w:ascii="宋体" w:hAnsi="宋体"/>
          <w:sz w:val="24"/>
        </w:rPr>
        <w:t>乙方不能交货的，应向甲方偿付不能交货部分货款的</w:t>
      </w:r>
      <w:r>
        <w:rPr>
          <w:rFonts w:ascii="宋体"/>
          <w:sz w:val="24"/>
          <w:u w:val="single"/>
        </w:rPr>
        <w:t> </w:t>
      </w:r>
      <w:r>
        <w:rPr>
          <w:rFonts w:hint="eastAsia" w:ascii="宋体" w:hAnsi="宋体"/>
          <w:sz w:val="24"/>
          <w:u w:val="single"/>
        </w:rPr>
        <w:t>10</w:t>
      </w:r>
      <w:r>
        <w:rPr>
          <w:rFonts w:ascii="宋体" w:hAnsi="宋体"/>
          <w:sz w:val="24"/>
          <w:u w:val="single"/>
        </w:rPr>
        <w:t>%</w:t>
      </w:r>
      <w:r>
        <w:rPr>
          <w:rFonts w:hint="eastAsia" w:ascii="宋体" w:hAnsi="宋体"/>
          <w:sz w:val="24"/>
        </w:rPr>
        <w:t>的违约金，并赔偿因此给甲方造成的全部损失。</w:t>
      </w:r>
    </w:p>
    <w:p>
      <w:pPr>
        <w:spacing w:beforeLines="50" w:beforeAutospacing="1" w:afterLines="30" w:afterAutospacing="1" w:line="360" w:lineRule="auto"/>
        <w:ind w:firstLine="420"/>
        <w:rPr>
          <w:rFonts w:ascii="宋体"/>
          <w:sz w:val="24"/>
        </w:rPr>
      </w:pPr>
      <w:r>
        <w:rPr>
          <w:rFonts w:ascii="宋体" w:hAnsi="宋体"/>
          <w:sz w:val="24"/>
        </w:rPr>
        <w:t>2.</w:t>
      </w:r>
      <w:r>
        <w:rPr>
          <w:rFonts w:hint="eastAsia" w:ascii="宋体" w:hAnsi="宋体"/>
          <w:sz w:val="24"/>
        </w:rPr>
        <w:t>乙方所交产品不符合合同规定的，应根据产品的具体情况，由乙方负责包换或包修，并承担修理、调换或退货而支付的实际费用</w:t>
      </w:r>
      <w:r>
        <w:rPr>
          <w:rFonts w:ascii="宋体"/>
          <w:sz w:val="24"/>
        </w:rPr>
        <w:t>,</w:t>
      </w:r>
      <w:r>
        <w:rPr>
          <w:rFonts w:hint="eastAsia" w:ascii="宋体" w:hAnsi="宋体"/>
          <w:sz w:val="24"/>
        </w:rPr>
        <w:t>同时，乙方应按规定，对更换件相应延长质量保证期，并赔偿甲方相应的损失。乙方不能修理或者不能调换的，按不能交货处理。</w:t>
      </w:r>
    </w:p>
    <w:p>
      <w:pPr>
        <w:spacing w:beforeLines="50" w:beforeAutospacing="1" w:afterLines="30" w:afterAutospacing="1" w:line="360" w:lineRule="auto"/>
        <w:ind w:firstLine="420"/>
        <w:rPr>
          <w:rFonts w:ascii="宋体"/>
          <w:sz w:val="24"/>
        </w:rPr>
      </w:pPr>
      <w:r>
        <w:rPr>
          <w:rFonts w:ascii="宋体" w:hAnsi="宋体"/>
          <w:sz w:val="24"/>
        </w:rPr>
        <w:t>3.</w:t>
      </w:r>
      <w:r>
        <w:rPr>
          <w:rFonts w:hint="eastAsia" w:ascii="宋体" w:hAnsi="宋体"/>
          <w:sz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before="100" w:beforeAutospacing="1" w:after="100" w:afterAutospacing="1" w:line="360" w:lineRule="auto"/>
        <w:ind w:firstLine="420"/>
        <w:rPr>
          <w:rFonts w:ascii="宋体"/>
          <w:sz w:val="24"/>
        </w:rPr>
      </w:pPr>
      <w:r>
        <w:rPr>
          <w:rFonts w:ascii="宋体" w:hAnsi="宋体"/>
          <w:sz w:val="24"/>
        </w:rPr>
        <w:t>4.</w:t>
      </w:r>
      <w:r>
        <w:rPr>
          <w:rFonts w:hint="eastAsia" w:ascii="宋体" w:hAnsi="宋体"/>
          <w:sz w:val="24"/>
        </w:rPr>
        <w:t>如果乙方没有按照规定的时间交货、完成设备安装和提供服务，甲方将对其课以违约金，违约金应从货款中扣除，违约金应按每周迟交货物或未提供服务价格的</w:t>
      </w:r>
      <w:r>
        <w:rPr>
          <w:rFonts w:ascii="宋体" w:hAnsi="宋体"/>
          <w:sz w:val="24"/>
        </w:rPr>
        <w:t>0.5%</w:t>
      </w:r>
      <w:r>
        <w:rPr>
          <w:rFonts w:hint="eastAsia" w:ascii="宋体" w:hAnsi="宋体"/>
          <w:sz w:val="24"/>
        </w:rPr>
        <w:t>计收。但违约金的最高限额为迟交货物或提供服务合同价的</w:t>
      </w:r>
      <w:r>
        <w:rPr>
          <w:rFonts w:ascii="宋体" w:hAnsi="宋体"/>
          <w:sz w:val="24"/>
        </w:rPr>
        <w:t>5%</w:t>
      </w:r>
      <w:r>
        <w:rPr>
          <w:rFonts w:hint="eastAsia" w:ascii="宋体" w:hAnsi="宋体"/>
          <w:sz w:val="24"/>
        </w:rPr>
        <w:t>。一周按</w:t>
      </w:r>
      <w:r>
        <w:rPr>
          <w:rFonts w:ascii="宋体" w:hAnsi="宋体"/>
          <w:sz w:val="24"/>
        </w:rPr>
        <w:t>7</w:t>
      </w:r>
      <w:r>
        <w:rPr>
          <w:rFonts w:hint="eastAsia" w:ascii="宋体" w:hAnsi="宋体"/>
          <w:sz w:val="24"/>
        </w:rPr>
        <w:t>天计算，不足</w:t>
      </w:r>
      <w:r>
        <w:rPr>
          <w:rFonts w:ascii="宋体" w:hAnsi="宋体"/>
          <w:sz w:val="24"/>
        </w:rPr>
        <w:t>7</w:t>
      </w:r>
      <w:r>
        <w:rPr>
          <w:rFonts w:hint="eastAsia" w:ascii="宋体" w:hAnsi="宋体"/>
          <w:sz w:val="24"/>
        </w:rPr>
        <w:t>天按一周计算。如果达到最高限额，甲方有权终止合同，由此给甲方造成的损失由乙方承担。</w:t>
      </w:r>
    </w:p>
    <w:p>
      <w:pPr>
        <w:spacing w:beforeLines="50" w:beforeAutospacing="1" w:afterLines="30" w:afterAutospacing="1" w:line="360" w:lineRule="auto"/>
        <w:ind w:firstLine="420"/>
        <w:rPr>
          <w:rFonts w:ascii="宋体"/>
          <w:sz w:val="24"/>
        </w:rPr>
      </w:pPr>
      <w:r>
        <w:rPr>
          <w:rFonts w:ascii="宋体" w:hAnsi="宋体"/>
          <w:sz w:val="24"/>
        </w:rPr>
        <w:t>5.</w:t>
      </w:r>
      <w:r>
        <w:rPr>
          <w:rFonts w:hint="eastAsia" w:ascii="宋体" w:hAnsi="宋体"/>
          <w:sz w:val="24"/>
        </w:rPr>
        <w:t>乙方提前交货的产品、多交的产品和不符合合同规定的产品，甲方在代保管期内实际支付的保管、保养等费用以及非因甲方保管不善而发生的损失，应当由乙方承担。</w:t>
      </w:r>
    </w:p>
    <w:p>
      <w:pPr>
        <w:spacing w:beforeLines="50" w:beforeAutospacing="1" w:afterLines="30" w:afterAutospacing="1" w:line="360" w:lineRule="auto"/>
        <w:ind w:firstLine="420"/>
        <w:rPr>
          <w:rFonts w:ascii="宋体"/>
          <w:sz w:val="24"/>
        </w:rPr>
      </w:pPr>
      <w:r>
        <w:rPr>
          <w:rFonts w:ascii="宋体" w:hAnsi="宋体"/>
          <w:sz w:val="24"/>
        </w:rPr>
        <w:t>6.</w:t>
      </w:r>
      <w:r>
        <w:rPr>
          <w:rFonts w:hint="eastAsia" w:ascii="宋体" w:hAnsi="宋体"/>
          <w:sz w:val="24"/>
        </w:rPr>
        <w:t>乙方应对其所提供的货物承担所有权担保责任，并应保证甲方在中华人民共和国内使用该货物时不侵犯第三人的知识产权。否则乙方应承担由此引起的一切法律责任及费用。</w:t>
      </w:r>
    </w:p>
    <w:p>
      <w:pPr>
        <w:spacing w:beforeLines="50" w:beforeAutospacing="1" w:afterLines="30" w:afterAutospacing="1" w:line="360" w:lineRule="auto"/>
        <w:ind w:firstLine="420"/>
        <w:rPr>
          <w:rFonts w:ascii="宋体"/>
          <w:sz w:val="24"/>
        </w:rPr>
      </w:pPr>
      <w:r>
        <w:rPr>
          <w:rFonts w:ascii="宋体" w:hAnsi="宋体"/>
          <w:sz w:val="24"/>
        </w:rPr>
        <w:t>7.</w:t>
      </w:r>
      <w:r>
        <w:rPr>
          <w:rFonts w:hint="eastAsia" w:ascii="宋体" w:hAnsi="宋体"/>
          <w:sz w:val="24"/>
        </w:rPr>
        <w:t>任何一方未经对方同意而单方面终止合同的，应向对方赔偿相当于本合同总价款</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ascii="宋体" w:hAnsi="宋体"/>
          <w:sz w:val="24"/>
        </w:rPr>
        <w:t>%</w:t>
      </w:r>
      <w:r>
        <w:rPr>
          <w:rFonts w:hint="eastAsia" w:ascii="宋体" w:hAnsi="宋体"/>
          <w:sz w:val="24"/>
        </w:rPr>
        <w:t>违约金。</w:t>
      </w:r>
    </w:p>
    <w:p>
      <w:pPr>
        <w:spacing w:beforeLines="50" w:beforeAutospacing="1" w:afterLines="30" w:afterAutospacing="1" w:line="360" w:lineRule="auto"/>
        <w:rPr>
          <w:rFonts w:ascii="宋体"/>
          <w:sz w:val="24"/>
        </w:rPr>
      </w:pPr>
      <w:r>
        <w:rPr>
          <w:rFonts w:hint="eastAsia" w:ascii="宋体" w:hAnsi="宋体"/>
          <w:b/>
          <w:bCs/>
          <w:sz w:val="24"/>
        </w:rPr>
        <w:t>第十一条</w:t>
      </w:r>
      <w:r>
        <w:rPr>
          <w:rFonts w:ascii="宋体"/>
          <w:sz w:val="24"/>
        </w:rPr>
        <w:t> </w:t>
      </w:r>
      <w:r>
        <w:rPr>
          <w:rFonts w:ascii="宋体" w:hAnsi="宋体"/>
          <w:sz w:val="24"/>
        </w:rPr>
        <w:t xml:space="preserve"> </w:t>
      </w:r>
      <w:r>
        <w:rPr>
          <w:rFonts w:hint="eastAsia" w:ascii="宋体" w:hAnsi="宋体"/>
          <w:sz w:val="24"/>
        </w:rPr>
        <w:t>甲方的违约责任</w:t>
      </w:r>
    </w:p>
    <w:p>
      <w:pPr>
        <w:spacing w:beforeLines="50" w:beforeAutospacing="1" w:afterLines="30" w:afterAutospacing="1" w:line="360" w:lineRule="auto"/>
        <w:ind w:firstLine="420"/>
        <w:rPr>
          <w:rFonts w:ascii="宋体"/>
          <w:sz w:val="24"/>
        </w:rPr>
      </w:pPr>
      <w:r>
        <w:rPr>
          <w:rFonts w:hint="eastAsia" w:ascii="宋体" w:hAnsi="宋体"/>
          <w:sz w:val="24"/>
        </w:rPr>
        <w:t>1</w:t>
      </w:r>
      <w:r>
        <w:rPr>
          <w:rFonts w:ascii="宋体" w:hAnsi="宋体"/>
          <w:sz w:val="24"/>
        </w:rPr>
        <w:t>.</w:t>
      </w:r>
      <w:r>
        <w:rPr>
          <w:rFonts w:hint="eastAsia" w:ascii="宋体" w:hAnsi="宋体"/>
          <w:sz w:val="24"/>
        </w:rPr>
        <w:t>甲方违反合同规定拒绝接货的，应当承担由此造成的损失。</w:t>
      </w:r>
    </w:p>
    <w:p>
      <w:pPr>
        <w:spacing w:beforeLines="50" w:beforeAutospacing="1" w:afterLines="30" w:afterAutospacing="1" w:line="360" w:lineRule="auto"/>
        <w:rPr>
          <w:rFonts w:ascii="宋体"/>
          <w:b/>
          <w:sz w:val="24"/>
        </w:rPr>
      </w:pPr>
      <w:r>
        <w:rPr>
          <w:rFonts w:hint="eastAsia" w:ascii="宋体" w:hAnsi="宋体"/>
          <w:b/>
          <w:bCs/>
          <w:sz w:val="24"/>
        </w:rPr>
        <w:t>第十二条</w:t>
      </w:r>
      <w:r>
        <w:rPr>
          <w:rFonts w:ascii="宋体"/>
          <w:b/>
          <w:bCs/>
          <w:sz w:val="24"/>
        </w:rPr>
        <w:t> </w:t>
      </w:r>
      <w:r>
        <w:rPr>
          <w:rFonts w:ascii="宋体" w:hAnsi="宋体"/>
          <w:sz w:val="24"/>
        </w:rPr>
        <w:t xml:space="preserve"> </w:t>
      </w:r>
      <w:r>
        <w:rPr>
          <w:rFonts w:hint="eastAsia" w:ascii="宋体" w:hAnsi="宋体"/>
          <w:sz w:val="24"/>
        </w:rPr>
        <w:t>不可抗力</w:t>
      </w:r>
    </w:p>
    <w:p>
      <w:pPr>
        <w:spacing w:before="100" w:beforeAutospacing="1" w:after="100" w:afterAutospacing="1" w:line="360" w:lineRule="auto"/>
        <w:ind w:firstLine="549"/>
        <w:rPr>
          <w:rFonts w:ascii="宋体"/>
          <w:sz w:val="24"/>
        </w:rPr>
      </w:pPr>
      <w:r>
        <w:rPr>
          <w:rFonts w:hint="eastAsia" w:ascii="宋体" w:hAnsi="宋体"/>
          <w:sz w:val="24"/>
        </w:rPr>
        <w:t>⑴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before="100" w:beforeAutospacing="1" w:after="100" w:afterAutospacing="1" w:line="360" w:lineRule="auto"/>
        <w:ind w:firstLine="549"/>
        <w:rPr>
          <w:rFonts w:ascii="宋体"/>
          <w:sz w:val="24"/>
        </w:rPr>
      </w:pPr>
      <w:r>
        <w:rPr>
          <w:rFonts w:hint="eastAsia" w:ascii="宋体" w:hAnsi="宋体"/>
          <w:sz w:val="24"/>
        </w:rPr>
        <w:t>⑵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before="100" w:beforeAutospacing="1" w:after="100" w:afterAutospacing="1" w:line="360" w:lineRule="auto"/>
        <w:rPr>
          <w:rFonts w:ascii="宋体"/>
          <w:b/>
          <w:bCs/>
          <w:sz w:val="24"/>
        </w:rPr>
      </w:pPr>
      <w:r>
        <w:rPr>
          <w:rFonts w:hint="eastAsia" w:ascii="宋体" w:hAnsi="宋体"/>
          <w:b/>
          <w:bCs/>
          <w:sz w:val="24"/>
        </w:rPr>
        <w:t>第十三条</w:t>
      </w:r>
      <w:r>
        <w:rPr>
          <w:rFonts w:ascii="宋体" w:hAnsi="宋体"/>
          <w:b/>
          <w:bCs/>
          <w:sz w:val="24"/>
        </w:rPr>
        <w:t xml:space="preserve">  </w:t>
      </w:r>
      <w:r>
        <w:rPr>
          <w:rFonts w:hint="eastAsia" w:ascii="宋体" w:hAnsi="宋体"/>
          <w:sz w:val="24"/>
        </w:rPr>
        <w:t>履约保证金</w:t>
      </w:r>
    </w:p>
    <w:p>
      <w:pPr>
        <w:spacing w:before="100" w:beforeAutospacing="1" w:after="100" w:afterAutospacing="1" w:line="360" w:lineRule="auto"/>
        <w:ind w:firstLine="420"/>
        <w:rPr>
          <w:rFonts w:ascii="宋体"/>
          <w:sz w:val="24"/>
        </w:rPr>
      </w:pPr>
      <w:r>
        <w:rPr>
          <w:rFonts w:hint="eastAsia" w:ascii="宋体" w:hAnsi="宋体"/>
          <w:sz w:val="24"/>
        </w:rPr>
        <w:t>（</w:t>
      </w:r>
      <w:r>
        <w:rPr>
          <w:rFonts w:ascii="宋体" w:hAnsi="宋体"/>
          <w:sz w:val="24"/>
        </w:rPr>
        <w:t>1</w:t>
      </w:r>
      <w:r>
        <w:rPr>
          <w:rFonts w:hint="eastAsia" w:ascii="宋体" w:hAnsi="宋体"/>
          <w:sz w:val="24"/>
        </w:rPr>
        <w:t>）本项目履约保证金为</w:t>
      </w:r>
      <w:r>
        <w:rPr>
          <w:rFonts w:ascii="宋体" w:hAnsi="宋体"/>
          <w:sz w:val="24"/>
          <w:u w:val="single"/>
        </w:rPr>
        <w:t xml:space="preserve">          </w:t>
      </w:r>
      <w:r>
        <w:rPr>
          <w:rFonts w:ascii="宋体" w:hAnsi="宋体"/>
          <w:sz w:val="24"/>
        </w:rPr>
        <w:t>(</w:t>
      </w:r>
      <w:r>
        <w:rPr>
          <w:rFonts w:hint="eastAsia" w:ascii="宋体" w:hAnsi="宋体"/>
          <w:sz w:val="24"/>
        </w:rPr>
        <w:t>人民币</w:t>
      </w:r>
      <w:r>
        <w:rPr>
          <w:rFonts w:ascii="宋体" w:hAnsi="宋体"/>
          <w:sz w:val="24"/>
        </w:rPr>
        <w:t>),</w:t>
      </w:r>
      <w:r>
        <w:rPr>
          <w:rFonts w:hint="eastAsia" w:ascii="宋体" w:hAnsi="宋体"/>
          <w:sz w:val="24"/>
        </w:rPr>
        <w:t>期限</w:t>
      </w:r>
      <w:r>
        <w:rPr>
          <w:rFonts w:ascii="宋体" w:hAnsi="宋体"/>
          <w:sz w:val="24"/>
          <w:u w:val="single"/>
        </w:rPr>
        <w:t xml:space="preserve"> </w:t>
      </w:r>
      <w:r>
        <w:rPr>
          <w:rFonts w:hint="eastAsia" w:ascii="宋体" w:hAnsi="宋体"/>
          <w:sz w:val="24"/>
          <w:u w:val="single"/>
        </w:rPr>
        <w:t>工程验收合格后</w:t>
      </w:r>
      <w:r>
        <w:rPr>
          <w:rFonts w:ascii="宋体" w:hAnsi="宋体"/>
          <w:sz w:val="24"/>
          <w:u w:val="single"/>
        </w:rPr>
        <w:t>7</w:t>
      </w:r>
      <w:r>
        <w:rPr>
          <w:rFonts w:hint="eastAsia" w:ascii="宋体" w:hAnsi="宋体"/>
          <w:sz w:val="24"/>
          <w:u w:val="single"/>
        </w:rPr>
        <w:t>个日历天</w:t>
      </w:r>
      <w:r>
        <w:rPr>
          <w:rFonts w:ascii="宋体" w:hAnsi="宋体"/>
          <w:sz w:val="24"/>
          <w:u w:val="single"/>
        </w:rPr>
        <w:t xml:space="preserve"> </w:t>
      </w:r>
      <w:r>
        <w:rPr>
          <w:rFonts w:hint="eastAsia" w:ascii="宋体" w:hAnsi="宋体"/>
          <w:sz w:val="24"/>
        </w:rPr>
        <w:t>。</w:t>
      </w:r>
    </w:p>
    <w:p>
      <w:pPr>
        <w:spacing w:before="100" w:beforeAutospacing="1" w:after="100" w:afterAutospacing="1" w:line="360" w:lineRule="auto"/>
        <w:ind w:firstLine="420"/>
        <w:rPr>
          <w:rFonts w:ascii="宋体"/>
          <w:sz w:val="24"/>
        </w:rPr>
      </w:pPr>
      <w:r>
        <w:rPr>
          <w:rFonts w:hint="eastAsia" w:ascii="宋体" w:hAnsi="宋体"/>
          <w:sz w:val="24"/>
        </w:rPr>
        <w:t>（</w:t>
      </w:r>
      <w:r>
        <w:rPr>
          <w:rFonts w:ascii="宋体" w:hAnsi="宋体"/>
          <w:sz w:val="24"/>
        </w:rPr>
        <w:t>2</w:t>
      </w:r>
      <w:r>
        <w:rPr>
          <w:rFonts w:hint="eastAsia" w:ascii="宋体" w:hAnsi="宋体"/>
          <w:sz w:val="24"/>
        </w:rPr>
        <w:t>）乙方提供的履约保证金按规定格式以银行保函形式提供的，与此有关的费用由乙方承担。</w:t>
      </w:r>
      <w:bookmarkStart w:id="37" w:name="_GoBack"/>
      <w:bookmarkEnd w:id="37"/>
    </w:p>
    <w:p>
      <w:pPr>
        <w:spacing w:before="100" w:beforeAutospacing="1" w:after="100" w:afterAutospacing="1" w:line="360" w:lineRule="auto"/>
        <w:ind w:firstLine="420"/>
        <w:rPr>
          <w:rFonts w:ascii="宋体"/>
          <w:sz w:val="24"/>
        </w:rPr>
      </w:pPr>
      <w:r>
        <w:rPr>
          <w:rFonts w:hint="eastAsia" w:ascii="宋体"/>
          <w:sz w:val="24"/>
        </w:rPr>
        <w:t>（</w:t>
      </w:r>
      <w:r>
        <w:rPr>
          <w:rFonts w:ascii="宋体"/>
          <w:sz w:val="24"/>
        </w:rPr>
        <w:t>3</w:t>
      </w:r>
      <w:r>
        <w:rPr>
          <w:rFonts w:hint="eastAsia" w:ascii="宋体"/>
          <w:sz w:val="24"/>
        </w:rPr>
        <w:t>）</w:t>
      </w:r>
      <w:r>
        <w:rPr>
          <w:rFonts w:hint="eastAsia" w:ascii="宋体" w:hAnsi="宋体"/>
          <w:sz w:val="24"/>
        </w:rPr>
        <w:t>乙方未能履行其合同规定的任何义务，甲方有权从履约保证金中取得补偿。</w:t>
      </w:r>
    </w:p>
    <w:p>
      <w:pPr>
        <w:spacing w:before="100" w:beforeAutospacing="1" w:after="100" w:afterAutospacing="1" w:line="360" w:lineRule="auto"/>
        <w:rPr>
          <w:rFonts w:ascii="宋体"/>
          <w:b/>
          <w:sz w:val="24"/>
        </w:rPr>
      </w:pPr>
      <w:r>
        <w:rPr>
          <w:rFonts w:hint="eastAsia" w:ascii="宋体" w:hAnsi="宋体"/>
          <w:b/>
          <w:bCs/>
          <w:sz w:val="24"/>
        </w:rPr>
        <w:t>第十四条</w:t>
      </w:r>
      <w:r>
        <w:rPr>
          <w:rFonts w:ascii="宋体" w:hAnsi="宋体"/>
          <w:b/>
          <w:bCs/>
          <w:sz w:val="24"/>
        </w:rPr>
        <w:t xml:space="preserve"> </w:t>
      </w:r>
      <w:r>
        <w:rPr>
          <w:rFonts w:hint="eastAsia" w:ascii="宋体" w:hAnsi="宋体"/>
          <w:bCs/>
          <w:sz w:val="24"/>
        </w:rPr>
        <w:t>转让与分包</w:t>
      </w:r>
    </w:p>
    <w:p>
      <w:pPr>
        <w:spacing w:before="100" w:beforeAutospacing="1" w:after="100" w:afterAutospacing="1" w:line="360" w:lineRule="auto"/>
        <w:ind w:firstLine="420"/>
        <w:rPr>
          <w:rFonts w:ascii="宋体"/>
          <w:sz w:val="24"/>
        </w:rPr>
      </w:pPr>
      <w:r>
        <w:rPr>
          <w:rFonts w:hint="eastAsia" w:ascii="宋体" w:hAnsi="宋体"/>
          <w:sz w:val="24"/>
        </w:rPr>
        <w:t>（</w:t>
      </w:r>
      <w:r>
        <w:rPr>
          <w:rFonts w:ascii="宋体" w:hAnsi="宋体"/>
          <w:sz w:val="24"/>
        </w:rPr>
        <w:t>1</w:t>
      </w:r>
      <w:r>
        <w:rPr>
          <w:rFonts w:hint="eastAsia" w:ascii="宋体" w:hAnsi="宋体"/>
          <w:sz w:val="24"/>
        </w:rPr>
        <w:t>）除甲方事先书面同意外，乙方不得部分转让或全部转让其应履行的合同义务。</w:t>
      </w:r>
    </w:p>
    <w:p>
      <w:pPr>
        <w:spacing w:before="100" w:beforeAutospacing="1" w:after="100" w:afterAutospacing="1" w:line="360" w:lineRule="auto"/>
        <w:ind w:firstLine="420"/>
        <w:rPr>
          <w:rFonts w:ascii="宋体"/>
          <w:sz w:val="24"/>
        </w:rPr>
      </w:pPr>
      <w:r>
        <w:rPr>
          <w:rFonts w:hint="eastAsia" w:ascii="宋体" w:hAnsi="宋体"/>
          <w:sz w:val="24"/>
        </w:rPr>
        <w:t>（</w:t>
      </w:r>
      <w:r>
        <w:rPr>
          <w:rFonts w:ascii="宋体" w:hAnsi="宋体"/>
          <w:sz w:val="24"/>
        </w:rPr>
        <w:t>2</w:t>
      </w:r>
      <w:r>
        <w:rPr>
          <w:rFonts w:hint="eastAsia" w:ascii="宋体" w:hAnsi="宋体"/>
          <w:sz w:val="24"/>
        </w:rPr>
        <w:t>）乙方应在投标文件中或以其他书面形式对甲方确认本合同项下所授予的所有分包合同。但该确认不解除乙方承担的本合同下的任何责任或义务。意即在本合同项下，乙方对甲方负总责。</w:t>
      </w:r>
    </w:p>
    <w:p>
      <w:pPr>
        <w:spacing w:before="100" w:beforeAutospacing="1" w:after="100" w:afterAutospacing="1" w:line="360" w:lineRule="auto"/>
        <w:rPr>
          <w:rFonts w:ascii="宋体"/>
          <w:bCs/>
          <w:sz w:val="24"/>
        </w:rPr>
      </w:pPr>
      <w:r>
        <w:rPr>
          <w:rFonts w:hint="eastAsia" w:ascii="宋体" w:hAnsi="宋体"/>
          <w:b/>
          <w:bCs/>
          <w:sz w:val="24"/>
        </w:rPr>
        <w:t>第十五条</w:t>
      </w:r>
      <w:r>
        <w:rPr>
          <w:rFonts w:ascii="宋体" w:hAnsi="宋体"/>
          <w:b/>
          <w:bCs/>
          <w:sz w:val="24"/>
        </w:rPr>
        <w:t xml:space="preserve"> </w:t>
      </w:r>
      <w:r>
        <w:rPr>
          <w:rFonts w:hint="eastAsia" w:ascii="宋体" w:hAnsi="宋体"/>
          <w:bCs/>
          <w:sz w:val="24"/>
        </w:rPr>
        <w:t>合同文件及资料的使用</w:t>
      </w:r>
    </w:p>
    <w:p>
      <w:pPr>
        <w:spacing w:before="100" w:beforeAutospacing="1" w:after="100" w:afterAutospacing="1" w:line="360" w:lineRule="auto"/>
        <w:ind w:firstLine="420"/>
        <w:rPr>
          <w:rFonts w:ascii="宋体"/>
          <w:sz w:val="24"/>
        </w:rPr>
      </w:pPr>
      <w:r>
        <w:rPr>
          <w:rFonts w:ascii="宋体" w:hAnsi="宋体"/>
          <w:sz w:val="24"/>
        </w:rPr>
        <w:t>1</w:t>
      </w:r>
      <w:r>
        <w:rPr>
          <w:rFonts w:ascii="宋体"/>
          <w:sz w:val="24"/>
          <w:szCs w:val="27"/>
        </w:rPr>
        <w:t>.</w:t>
      </w:r>
      <w:r>
        <w:rPr>
          <w:rFonts w:hint="eastAsia" w:ascii="宋体" w:hAnsi="宋体"/>
          <w:sz w:val="24"/>
        </w:rPr>
        <w:t>乙方在未经甲方书面同意的情况下，不得将合同、合同中的规定、有关计划、图纸、样本或甲方为上述内容向乙方提供的资料透露给任何人。</w:t>
      </w:r>
    </w:p>
    <w:p>
      <w:pPr>
        <w:kinsoku w:val="0"/>
        <w:overflowPunct w:val="0"/>
        <w:spacing w:line="360" w:lineRule="auto"/>
        <w:ind w:left="8" w:right="137" w:firstLine="412"/>
        <w:rPr>
          <w:rFonts w:ascii="宋体"/>
          <w:sz w:val="24"/>
        </w:rPr>
      </w:pPr>
      <w:r>
        <w:rPr>
          <w:rFonts w:ascii="宋体" w:hAnsi="宋体"/>
          <w:sz w:val="24"/>
        </w:rPr>
        <w:t>2</w:t>
      </w:r>
      <w:r>
        <w:rPr>
          <w:rFonts w:ascii="宋体"/>
          <w:sz w:val="24"/>
          <w:szCs w:val="27"/>
        </w:rPr>
        <w:t>.</w:t>
      </w:r>
      <w:r>
        <w:rPr>
          <w:rFonts w:hint="eastAsia" w:ascii="宋体" w:hAnsi="宋体"/>
          <w:sz w:val="24"/>
        </w:rPr>
        <w:t>除非执行合同需要，在事先未得到甲方同意的情况下，乙方不得使用前款所列的任何文件和资料。</w:t>
      </w:r>
    </w:p>
    <w:p>
      <w:pPr>
        <w:kinsoku w:val="0"/>
        <w:overflowPunct w:val="0"/>
        <w:spacing w:line="360" w:lineRule="auto"/>
        <w:ind w:left="8" w:right="137" w:firstLine="412"/>
        <w:rPr>
          <w:rFonts w:ascii="宋体" w:hAnsi="Arial"/>
          <w:sz w:val="24"/>
        </w:rPr>
      </w:pPr>
    </w:p>
    <w:p>
      <w:pPr>
        <w:kinsoku w:val="0"/>
        <w:overflowPunct w:val="0"/>
        <w:spacing w:line="360" w:lineRule="auto"/>
        <w:rPr>
          <w:rFonts w:ascii="宋体" w:hAnsi="Arial"/>
          <w:b/>
          <w:bCs/>
          <w:spacing w:val="2"/>
          <w:sz w:val="24"/>
        </w:rPr>
      </w:pPr>
      <w:bookmarkStart w:id="17" w:name="_Toc296891233"/>
      <w:bookmarkStart w:id="18" w:name="_Toc296891021"/>
      <w:bookmarkStart w:id="19" w:name="_Toc297048379"/>
      <w:bookmarkStart w:id="20" w:name="_Toc297216199"/>
      <w:bookmarkStart w:id="21" w:name="_Toc296503193"/>
      <w:bookmarkStart w:id="22" w:name="_Toc296347192"/>
      <w:bookmarkStart w:id="23" w:name="_Toc296944532"/>
      <w:bookmarkStart w:id="24" w:name="_Toc297120493"/>
      <w:bookmarkStart w:id="25" w:name="_Toc292559398"/>
      <w:bookmarkStart w:id="26" w:name="_Toc296346694"/>
      <w:bookmarkStart w:id="27" w:name="_Toc304295566"/>
      <w:bookmarkStart w:id="28" w:name="_Toc303539146"/>
      <w:bookmarkStart w:id="29" w:name="_Toc300934989"/>
      <w:bookmarkStart w:id="30" w:name="_Toc351203642"/>
      <w:bookmarkStart w:id="31" w:name="_Toc292559903"/>
      <w:bookmarkStart w:id="32" w:name="_Toc297123540"/>
      <w:bookmarkStart w:id="33" w:name="_Toc312678025"/>
      <w:bookmarkStart w:id="34" w:name="_Toc312677499"/>
      <w:r>
        <w:rPr>
          <w:rFonts w:hint="eastAsia" w:ascii="宋体" w:hAnsi="Arial"/>
          <w:b/>
          <w:bCs/>
          <w:spacing w:val="2"/>
          <w:sz w:val="24"/>
        </w:rPr>
        <w:t>第十六条</w:t>
      </w:r>
      <w:r>
        <w:rPr>
          <w:rFonts w:ascii="宋体" w:hAnsi="Arial"/>
          <w:b/>
          <w:bCs/>
          <w:spacing w:val="2"/>
          <w:sz w:val="24"/>
        </w:rPr>
        <w:t xml:space="preserve">  </w:t>
      </w:r>
      <w:r>
        <w:rPr>
          <w:rFonts w:hint="eastAsia" w:ascii="宋体" w:hAnsi="Arial"/>
          <w:bCs/>
          <w:spacing w:val="2"/>
          <w:sz w:val="24"/>
        </w:rPr>
        <w:t>变更</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bookmarkEnd w:id="33"/>
    <w:bookmarkEnd w:id="34"/>
    <w:p>
      <w:pPr>
        <w:snapToGrid w:val="0"/>
        <w:spacing w:beforeLines="30" w:line="360" w:lineRule="auto"/>
        <w:ind w:firstLine="480" w:firstLineChars="200"/>
        <w:rPr>
          <w:rFonts w:ascii="宋体"/>
          <w:sz w:val="24"/>
        </w:rPr>
      </w:pPr>
      <w:r>
        <w:rPr>
          <w:rFonts w:ascii="宋体" w:hAnsi="宋体"/>
          <w:sz w:val="24"/>
        </w:rPr>
        <w:t>1.</w:t>
      </w:r>
      <w:r>
        <w:rPr>
          <w:rFonts w:hint="eastAsia" w:ascii="宋体" w:hAnsi="宋体"/>
          <w:sz w:val="24"/>
        </w:rPr>
        <w:t>变更的范围</w:t>
      </w:r>
    </w:p>
    <w:p>
      <w:pPr>
        <w:snapToGrid w:val="0"/>
        <w:spacing w:beforeLines="30" w:line="360" w:lineRule="auto"/>
        <w:ind w:firstLine="480" w:firstLineChars="200"/>
        <w:rPr>
          <w:rFonts w:ascii="宋体"/>
          <w:sz w:val="24"/>
        </w:rPr>
      </w:pPr>
      <w:r>
        <w:rPr>
          <w:rFonts w:hint="eastAsia" w:ascii="宋体" w:hAnsi="宋体"/>
          <w:sz w:val="24"/>
        </w:rPr>
        <w:t>关于变更的范围的约定：招标施工图纸和工程量清单以外部分（招标施工图纸与工程量清单不符，以二者中标准较高的为准）。</w:t>
      </w:r>
    </w:p>
    <w:p>
      <w:pPr>
        <w:snapToGrid w:val="0"/>
        <w:spacing w:beforeLines="30" w:line="360" w:lineRule="auto"/>
        <w:ind w:firstLine="480" w:firstLineChars="200"/>
        <w:rPr>
          <w:rFonts w:ascii="宋体"/>
          <w:sz w:val="24"/>
        </w:rPr>
      </w:pPr>
      <w:r>
        <w:rPr>
          <w:rFonts w:ascii="宋体" w:hAnsi="宋体"/>
          <w:sz w:val="24"/>
        </w:rPr>
        <w:t xml:space="preserve">2. </w:t>
      </w:r>
      <w:r>
        <w:rPr>
          <w:rFonts w:hint="eastAsia" w:ascii="宋体" w:hAnsi="宋体"/>
          <w:sz w:val="24"/>
        </w:rPr>
        <w:t>变更估价</w:t>
      </w:r>
    </w:p>
    <w:p>
      <w:pPr>
        <w:snapToGrid w:val="0"/>
        <w:spacing w:beforeLines="30" w:line="360" w:lineRule="auto"/>
        <w:ind w:firstLine="480" w:firstLineChars="200"/>
        <w:rPr>
          <w:rFonts w:ascii="宋体"/>
          <w:sz w:val="24"/>
        </w:rPr>
      </w:pPr>
      <w:r>
        <w:rPr>
          <w:rFonts w:ascii="宋体" w:hAnsi="宋体"/>
          <w:sz w:val="24"/>
        </w:rPr>
        <w:t xml:space="preserve">2.1 </w:t>
      </w:r>
      <w:r>
        <w:rPr>
          <w:rFonts w:hint="eastAsia" w:ascii="宋体" w:hAnsi="宋体"/>
          <w:sz w:val="24"/>
        </w:rPr>
        <w:t>变更估价原则</w:t>
      </w:r>
    </w:p>
    <w:p>
      <w:pPr>
        <w:snapToGrid w:val="0"/>
        <w:spacing w:beforeLines="30" w:line="360" w:lineRule="auto"/>
        <w:ind w:firstLine="480" w:firstLineChars="200"/>
        <w:rPr>
          <w:rFonts w:ascii="宋体"/>
          <w:sz w:val="24"/>
        </w:rPr>
      </w:pPr>
      <w:r>
        <w:rPr>
          <w:rFonts w:hint="eastAsia" w:ascii="宋体" w:hAnsi="宋体"/>
          <w:sz w:val="24"/>
        </w:rPr>
        <w:t>关于变更估价的约定</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 xml:space="preserve">2.1.1 </w:t>
      </w:r>
      <w:r>
        <w:rPr>
          <w:rFonts w:hint="eastAsia" w:ascii="宋体" w:hAnsi="宋体"/>
          <w:sz w:val="24"/>
        </w:rPr>
        <w:t>因工程变更引起已标价工程量清单项目或其工程数量发生变化时，按下列规定调整：</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1</w:t>
      </w:r>
      <w:r>
        <w:rPr>
          <w:rFonts w:hint="eastAsia" w:ascii="宋体" w:hAnsi="宋体"/>
          <w:sz w:val="24"/>
        </w:rPr>
        <w:t>、已标价工程量清单中有适用于变更工程项目的，采用该项目的单价；但对于分部分项工程项目的单价投标报价高于控制价相应子目的单价的清单项目，工程量增加幅度超过本项目工程数量</w:t>
      </w:r>
      <w:r>
        <w:rPr>
          <w:rFonts w:ascii="宋体" w:hAnsi="宋体"/>
          <w:sz w:val="24"/>
        </w:rPr>
        <w:t xml:space="preserve"> 15%</w:t>
      </w:r>
      <w:r>
        <w:rPr>
          <w:rFonts w:hint="eastAsia" w:ascii="宋体" w:hAnsi="宋体"/>
          <w:sz w:val="24"/>
        </w:rPr>
        <w:t>（不含</w:t>
      </w:r>
      <w:r>
        <w:rPr>
          <w:rFonts w:ascii="宋体" w:hAnsi="宋体"/>
          <w:sz w:val="24"/>
        </w:rPr>
        <w:t xml:space="preserve"> 15%</w:t>
      </w:r>
      <w:r>
        <w:rPr>
          <w:rFonts w:hint="eastAsia" w:ascii="宋体" w:hAnsi="宋体"/>
          <w:sz w:val="24"/>
        </w:rPr>
        <w:t>）的，超过</w:t>
      </w:r>
      <w:r>
        <w:rPr>
          <w:rFonts w:ascii="宋体" w:hAnsi="宋体"/>
          <w:sz w:val="24"/>
        </w:rPr>
        <w:t xml:space="preserve"> 15%</w:t>
      </w:r>
      <w:r>
        <w:rPr>
          <w:rFonts w:hint="eastAsia" w:ascii="宋体" w:hAnsi="宋体"/>
          <w:sz w:val="24"/>
        </w:rPr>
        <w:t>的增加部分工程量的单价按控制价相应子目的单价与投标总价降幅同比下浮标准，经甲方确认后，作为结算的依据；对于分部分项的单价投标报价降幅低于控制价相应子目的单价</w:t>
      </w:r>
      <w:r>
        <w:rPr>
          <w:rFonts w:ascii="宋体" w:hAnsi="宋体"/>
          <w:sz w:val="24"/>
        </w:rPr>
        <w:t>30%</w:t>
      </w:r>
      <w:r>
        <w:rPr>
          <w:rFonts w:hint="eastAsia" w:ascii="宋体" w:hAnsi="宋体"/>
          <w:sz w:val="24"/>
        </w:rPr>
        <w:t>以上的清单项目，工程量减少幅度超过本项目工程数量</w:t>
      </w:r>
      <w:r>
        <w:rPr>
          <w:rFonts w:ascii="宋体" w:hAnsi="宋体"/>
          <w:sz w:val="24"/>
        </w:rPr>
        <w:t>15%</w:t>
      </w:r>
      <w:r>
        <w:rPr>
          <w:rFonts w:hint="eastAsia" w:ascii="宋体" w:hAnsi="宋体"/>
          <w:sz w:val="24"/>
        </w:rPr>
        <w:t>（不含</w:t>
      </w:r>
      <w:r>
        <w:rPr>
          <w:rFonts w:ascii="宋体" w:hAnsi="宋体"/>
          <w:sz w:val="24"/>
        </w:rPr>
        <w:t xml:space="preserve"> 15%</w:t>
      </w:r>
      <w:r>
        <w:rPr>
          <w:rFonts w:hint="eastAsia" w:ascii="宋体" w:hAnsi="宋体"/>
          <w:sz w:val="24"/>
        </w:rPr>
        <w:t>）的，超过</w:t>
      </w:r>
      <w:r>
        <w:rPr>
          <w:rFonts w:ascii="宋体" w:hAnsi="宋体"/>
          <w:sz w:val="24"/>
        </w:rPr>
        <w:t>15%</w:t>
      </w:r>
      <w:r>
        <w:rPr>
          <w:rFonts w:hint="eastAsia" w:ascii="宋体" w:hAnsi="宋体"/>
          <w:sz w:val="24"/>
        </w:rPr>
        <w:t>的减少部分工程量的单价按控制价相应子目的单价与投标总价降幅同比下浮标准，提出变更工程项目的单价，经甲方确认后，作为结算的依据；</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2</w:t>
      </w:r>
      <w:r>
        <w:rPr>
          <w:rFonts w:hint="eastAsia" w:ascii="宋体" w:hAnsi="宋体"/>
          <w:sz w:val="24"/>
        </w:rPr>
        <w:t>、已标价工程量清单中没有适用但有类似于变更工程项目的，经甲方确认后可在合理范围内参照类似项目的单价。</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3</w:t>
      </w:r>
      <w:r>
        <w:rPr>
          <w:rFonts w:hint="eastAsia" w:ascii="宋体" w:hAnsi="宋体"/>
          <w:sz w:val="24"/>
        </w:rPr>
        <w:t>、已标价工程量清单中没有适用也没有类似于变更工程项目的，由乙方根据变更工程资料、招标时的计量规则和计价办法、当期的工程造价管理机构发布的信息价格和乙方投标总价降幅同比下浮标准，经甲方确认后，提出变更工程项目的单价；</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4</w:t>
      </w:r>
      <w:r>
        <w:rPr>
          <w:rFonts w:hint="eastAsia" w:ascii="宋体" w:hAnsi="宋体"/>
          <w:sz w:val="24"/>
        </w:rPr>
        <w:t>、已标价工程量清单中没有适用也没有类似于变更工程项目的，且工程造价管理机构发布的信息价缺价的，由乙方根据变更工程资料、招标时的计量规则和计价办法和通过市场调查等取得有合法依据的市场价格和乙方投标总价降幅同比下浮标准，提出变更工程项目的单价，经甲方确认后，作为结算的依据；</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 xml:space="preserve">2.1.2 </w:t>
      </w:r>
      <w:r>
        <w:rPr>
          <w:rFonts w:hint="eastAsia" w:ascii="宋体" w:hAnsi="宋体"/>
          <w:sz w:val="24"/>
        </w:rPr>
        <w:t>工程变更引起施工方案改变并使措施项目发生变化时，乙方提出调整措施项目费的，应事前将拟实施的方案提交甲方确认，并应详细说明与原方案措施项目相比的变化情况。拟实施的方案经发承包双方确认后执行，并应按照下列规定调整措施项目费：</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1</w:t>
      </w:r>
      <w:r>
        <w:rPr>
          <w:rFonts w:hint="eastAsia" w:ascii="宋体" w:hAnsi="宋体"/>
          <w:sz w:val="24"/>
        </w:rPr>
        <w:t>、安全文明施工费应按照实际发生变化的措施项目依据原招标文件规定的费率计算；</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2</w:t>
      </w:r>
      <w:r>
        <w:rPr>
          <w:rFonts w:hint="eastAsia" w:ascii="宋体" w:hAnsi="宋体"/>
          <w:sz w:val="24"/>
        </w:rPr>
        <w:t>、按照单价计算的措施项目费，按照实际发生变化的措施项目和乙方投标总价降幅同比下浮标准，提出新的措施项目费，经甲方确认后，作为结算的依据；</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3</w:t>
      </w:r>
      <w:r>
        <w:rPr>
          <w:rFonts w:hint="eastAsia" w:ascii="宋体" w:hAnsi="宋体"/>
          <w:sz w:val="24"/>
        </w:rPr>
        <w:t>、按总价（或系数）计算的措施项目费，按照实际发生变化的措施项目和乙方投标总价降幅同比下浮标准，提出新的措施项目费，经甲方确认后，作为结算的依据；</w:t>
      </w:r>
      <w:r>
        <w:rPr>
          <w:rFonts w:ascii="宋体" w:hAnsi="宋体"/>
          <w:sz w:val="24"/>
        </w:rPr>
        <w:t xml:space="preserve"> </w:t>
      </w:r>
    </w:p>
    <w:p>
      <w:pPr>
        <w:snapToGrid w:val="0"/>
        <w:spacing w:beforeLines="30" w:line="360" w:lineRule="auto"/>
        <w:ind w:firstLine="480" w:firstLineChars="200"/>
        <w:rPr>
          <w:rFonts w:ascii="宋体"/>
          <w:sz w:val="24"/>
        </w:rPr>
      </w:pPr>
      <w:r>
        <w:rPr>
          <w:rFonts w:ascii="宋体" w:hAnsi="宋体"/>
          <w:sz w:val="24"/>
        </w:rPr>
        <w:t>4</w:t>
      </w:r>
      <w:r>
        <w:rPr>
          <w:rFonts w:hint="eastAsia" w:ascii="宋体" w:hAnsi="宋体"/>
          <w:sz w:val="24"/>
        </w:rPr>
        <w:t>、如果乙方未事前将拟实施的方案提交给甲方确认，则应视为工程变更不引起措施项目费的调整或乙方放弃调整措施项目费的权利。</w:t>
      </w:r>
    </w:p>
    <w:p>
      <w:pPr>
        <w:spacing w:beforeLines="50" w:beforeAutospacing="1" w:afterLines="30" w:afterAutospacing="1" w:line="360" w:lineRule="auto"/>
        <w:rPr>
          <w:rFonts w:ascii="宋体"/>
          <w:sz w:val="24"/>
        </w:rPr>
      </w:pPr>
      <w:r>
        <w:rPr>
          <w:rFonts w:hint="eastAsia" w:ascii="宋体" w:hAnsi="宋体"/>
          <w:b/>
          <w:bCs/>
          <w:sz w:val="24"/>
        </w:rPr>
        <w:t>第十七条</w:t>
      </w:r>
      <w:r>
        <w:rPr>
          <w:rFonts w:ascii="宋体"/>
          <w:b/>
          <w:bCs/>
          <w:sz w:val="24"/>
        </w:rPr>
        <w:t> </w:t>
      </w:r>
      <w:r>
        <w:rPr>
          <w:rFonts w:ascii="宋体" w:hAnsi="宋体"/>
          <w:sz w:val="24"/>
        </w:rPr>
        <w:t xml:space="preserve"> </w:t>
      </w:r>
      <w:r>
        <w:rPr>
          <w:rFonts w:hint="eastAsia" w:ascii="宋体" w:hAnsi="宋体"/>
          <w:sz w:val="24"/>
        </w:rPr>
        <w:t>其他</w:t>
      </w:r>
      <w:r>
        <w:rPr>
          <w:rFonts w:ascii="宋体"/>
          <w:sz w:val="24"/>
          <w:u w:val="single"/>
        </w:rPr>
        <w:t>                                  </w:t>
      </w:r>
      <w:r>
        <w:rPr>
          <w:rFonts w:hint="eastAsia" w:ascii="宋体" w:hAnsi="宋体"/>
          <w:sz w:val="24"/>
        </w:rPr>
        <w:t>。</w:t>
      </w:r>
    </w:p>
    <w:p>
      <w:pPr>
        <w:spacing w:beforeLines="50" w:beforeAutospacing="1" w:afterLines="30" w:afterAutospacing="1" w:line="360" w:lineRule="auto"/>
        <w:ind w:firstLine="460" w:firstLineChars="192"/>
        <w:rPr>
          <w:rFonts w:ascii="宋体"/>
          <w:sz w:val="24"/>
        </w:rPr>
      </w:pPr>
      <w:r>
        <w:rPr>
          <w:rFonts w:hint="eastAsia" w:ascii="宋体" w:hAnsi="宋体"/>
          <w:sz w:val="24"/>
        </w:rPr>
        <w:t>按本合同规定应该偿付的违约金、赔偿金、保管保养费和各种经济损失，应当在明确责任后</w:t>
      </w:r>
      <w:r>
        <w:rPr>
          <w:rFonts w:ascii="宋体" w:hAnsi="宋体"/>
          <w:sz w:val="24"/>
        </w:rPr>
        <w:t>10</w:t>
      </w:r>
      <w:r>
        <w:rPr>
          <w:rFonts w:hint="eastAsia" w:ascii="宋体" w:hAnsi="宋体"/>
          <w:sz w:val="24"/>
        </w:rPr>
        <w:t>天内，按银行规定的结算办法付清，否则按逾期付款处理。</w:t>
      </w:r>
    </w:p>
    <w:p>
      <w:pPr>
        <w:spacing w:beforeLines="50" w:beforeAutospacing="1" w:afterLines="30" w:afterAutospacing="1" w:line="360" w:lineRule="auto"/>
        <w:ind w:firstLine="460" w:firstLineChars="192"/>
        <w:rPr>
          <w:rFonts w:ascii="宋体"/>
          <w:sz w:val="24"/>
        </w:rPr>
      </w:pPr>
      <w:r>
        <w:rPr>
          <w:rFonts w:hint="eastAsia" w:ascii="宋体" w:hAnsi="宋体"/>
          <w:sz w:val="24"/>
        </w:rPr>
        <w:t>本合同如发生纠纷，当事人双方应当及时协商解决，协商不成时，任何一方均可请采购管理机关调解，调解不成，按以下第（</w:t>
      </w:r>
      <w:r>
        <w:rPr>
          <w:rFonts w:ascii="宋体" w:hAnsi="宋体"/>
          <w:sz w:val="24"/>
        </w:rPr>
        <w:t xml:space="preserve">2 </w:t>
      </w:r>
      <w:r>
        <w:rPr>
          <w:rFonts w:hint="eastAsia" w:ascii="宋体" w:hAnsi="宋体"/>
          <w:sz w:val="24"/>
        </w:rPr>
        <w:t>）项方式处理：（</w:t>
      </w:r>
      <w:r>
        <w:rPr>
          <w:rFonts w:ascii="宋体" w:hAnsi="宋体"/>
          <w:sz w:val="24"/>
        </w:rPr>
        <w:t>1</w:t>
      </w:r>
      <w:r>
        <w:rPr>
          <w:rFonts w:hint="eastAsia" w:ascii="宋体" w:hAnsi="宋体"/>
          <w:sz w:val="24"/>
        </w:rPr>
        <w:t>）根据《中华人民共和国仲裁法》的规定向</w:t>
      </w:r>
      <w:r>
        <w:rPr>
          <w:rFonts w:hint="eastAsia" w:ascii="宋体" w:hAnsi="宋体"/>
          <w:b/>
          <w:bCs/>
          <w:sz w:val="24"/>
          <w:u w:val="single"/>
        </w:rPr>
        <w:t>合肥仲裁委员会</w:t>
      </w:r>
      <w:r>
        <w:rPr>
          <w:rFonts w:hint="eastAsia" w:ascii="宋体" w:hAnsi="宋体"/>
          <w:sz w:val="24"/>
        </w:rPr>
        <w:t>申请仲裁。（</w:t>
      </w:r>
      <w:r>
        <w:rPr>
          <w:rFonts w:ascii="宋体" w:hAnsi="宋体"/>
          <w:sz w:val="24"/>
        </w:rPr>
        <w:t>2</w:t>
      </w:r>
      <w:r>
        <w:rPr>
          <w:rFonts w:hint="eastAsia" w:ascii="宋体" w:hAnsi="宋体"/>
          <w:sz w:val="24"/>
        </w:rPr>
        <w:t>）向甲方所在地人民法院起诉。</w:t>
      </w:r>
    </w:p>
    <w:p>
      <w:pPr>
        <w:spacing w:beforeLines="50" w:afterLines="30" w:line="360" w:lineRule="auto"/>
        <w:rPr>
          <w:rFonts w:ascii="宋体"/>
          <w:sz w:val="24"/>
        </w:rPr>
      </w:pPr>
      <w:r>
        <w:rPr>
          <w:rFonts w:hint="eastAsia" w:ascii="宋体" w:hAnsi="宋体"/>
          <w:b/>
          <w:bCs/>
          <w:sz w:val="24"/>
        </w:rPr>
        <w:t>第十八条</w:t>
      </w:r>
      <w:r>
        <w:rPr>
          <w:rFonts w:ascii="宋体"/>
          <w:b/>
          <w:bCs/>
          <w:sz w:val="24"/>
        </w:rPr>
        <w:t> </w:t>
      </w:r>
      <w:r>
        <w:rPr>
          <w:rFonts w:hint="eastAsia" w:ascii="宋体" w:hAnsi="宋体"/>
          <w:sz w:val="24"/>
        </w:rPr>
        <w:t>本合同自甲乙双方当事人签字盖章后生效。本合同一式</w:t>
      </w:r>
      <w:r>
        <w:rPr>
          <w:rFonts w:ascii="宋体" w:hAnsi="宋体"/>
          <w:sz w:val="24"/>
          <w:u w:val="single"/>
        </w:rPr>
        <w:t xml:space="preserve"> </w:t>
      </w:r>
      <w:r>
        <w:rPr>
          <w:rFonts w:hint="eastAsia" w:ascii="宋体" w:hAnsi="宋体"/>
          <w:sz w:val="24"/>
          <w:u w:val="single"/>
        </w:rPr>
        <w:t>陆</w:t>
      </w:r>
      <w:r>
        <w:rPr>
          <w:rFonts w:ascii="宋体" w:hAnsi="宋体"/>
          <w:sz w:val="24"/>
          <w:u w:val="single"/>
        </w:rPr>
        <w:t xml:space="preserve"> </w:t>
      </w:r>
      <w:r>
        <w:rPr>
          <w:rFonts w:hint="eastAsia" w:ascii="宋体" w:hAnsi="宋体"/>
          <w:sz w:val="24"/>
        </w:rPr>
        <w:t>份，甲乙双方各执</w:t>
      </w:r>
      <w:r>
        <w:rPr>
          <w:rFonts w:ascii="宋体" w:hAnsi="宋体"/>
          <w:sz w:val="24"/>
          <w:u w:val="single"/>
        </w:rPr>
        <w:t xml:space="preserve"> </w:t>
      </w:r>
      <w:r>
        <w:rPr>
          <w:rFonts w:hint="eastAsia" w:ascii="宋体" w:hAnsi="宋体"/>
          <w:sz w:val="24"/>
          <w:u w:val="single"/>
        </w:rPr>
        <w:t>叁</w:t>
      </w:r>
      <w:r>
        <w:rPr>
          <w:rFonts w:ascii="宋体" w:hAnsi="宋体"/>
          <w:sz w:val="24"/>
          <w:u w:val="single"/>
        </w:rPr>
        <w:t xml:space="preserve"> </w:t>
      </w:r>
      <w:r>
        <w:rPr>
          <w:rFonts w:hint="eastAsia" w:ascii="宋体" w:hAnsi="宋体"/>
          <w:sz w:val="24"/>
        </w:rPr>
        <w:t>份。</w:t>
      </w:r>
      <w:r>
        <w:rPr>
          <w:rFonts w:hint="eastAsia" w:ascii="宋体" w:hAnsi="宋体"/>
          <w:bCs/>
          <w:sz w:val="24"/>
        </w:rPr>
        <w:t>甲乙双方必须严格按照招标文件、投标文件及有关承诺签订合同，不得擅自变更。</w:t>
      </w:r>
    </w:p>
    <w:p>
      <w:pPr>
        <w:spacing w:beforeLines="50" w:afterLines="30" w:line="360" w:lineRule="auto"/>
        <w:rPr>
          <w:rFonts w:ascii="宋体"/>
          <w:sz w:val="24"/>
        </w:rPr>
      </w:pPr>
      <w:r>
        <w:rPr>
          <w:rFonts w:hint="eastAsia" w:ascii="宋体" w:hAnsi="宋体"/>
          <w:b/>
          <w:bCs/>
          <w:sz w:val="24"/>
        </w:rPr>
        <w:t>第十九条</w:t>
      </w:r>
      <w:r>
        <w:rPr>
          <w:rFonts w:ascii="宋体" w:hAnsi="宋体"/>
          <w:b/>
          <w:bCs/>
          <w:sz w:val="24"/>
        </w:rPr>
        <w:t xml:space="preserve"> </w:t>
      </w:r>
      <w:r>
        <w:rPr>
          <w:rFonts w:hint="eastAsia" w:ascii="宋体" w:hAnsi="宋体"/>
          <w:sz w:val="24"/>
        </w:rPr>
        <w:t>合同执行期内，甲乙双方均不得随意变更或解除合同。合同如有未尽事宜，须经双方共同协商，做出补充规定，补充规定与本合同具有同等效力，也可按照中华人民共和国《合同法》的规定执行。</w:t>
      </w:r>
    </w:p>
    <w:p>
      <w:pPr>
        <w:kinsoku w:val="0"/>
        <w:overflowPunct w:val="0"/>
        <w:spacing w:line="360" w:lineRule="auto"/>
        <w:ind w:left="8" w:hanging="8"/>
        <w:rPr>
          <w:rFonts w:ascii="宋体" w:hAnsi="Arial"/>
          <w:sz w:val="24"/>
        </w:rPr>
      </w:pPr>
      <w:r>
        <w:rPr>
          <w:rFonts w:hint="eastAsia" w:ascii="宋体" w:hAnsi="宋体"/>
          <w:b/>
          <w:bCs/>
          <w:sz w:val="24"/>
        </w:rPr>
        <w:t>第二十条</w:t>
      </w:r>
      <w:r>
        <w:rPr>
          <w:rFonts w:ascii="宋体" w:hAnsi="宋体"/>
          <w:b/>
          <w:bCs/>
          <w:sz w:val="24"/>
        </w:rPr>
        <w:t xml:space="preserve"> </w:t>
      </w:r>
      <w:r>
        <w:rPr>
          <w:rFonts w:hint="eastAsia" w:ascii="宋体" w:hAnsi="Arial"/>
          <w:sz w:val="24"/>
        </w:rPr>
        <w:t>下列关</w:t>
      </w:r>
      <w:r>
        <w:rPr>
          <w:rFonts w:hint="eastAsia" w:ascii="宋体" w:hAnsi="Arial"/>
          <w:spacing w:val="-36"/>
          <w:sz w:val="24"/>
        </w:rPr>
        <w:t>于</w:t>
      </w:r>
      <w:r>
        <w:rPr>
          <w:rFonts w:hint="eastAsia" w:ascii="宋体" w:hAnsi="Arial"/>
          <w:spacing w:val="-3"/>
          <w:sz w:val="24"/>
        </w:rPr>
        <w:t>“百大宝龙店视频监控系统升级改造工程”</w:t>
      </w:r>
      <w:r>
        <w:rPr>
          <w:rFonts w:hint="eastAsia" w:ascii="宋体" w:hAnsi="Arial"/>
          <w:sz w:val="24"/>
        </w:rPr>
        <w:t>的第</w:t>
      </w:r>
      <w:r>
        <w:rPr>
          <w:rFonts w:ascii="宋体" w:hAnsi="Arial"/>
          <w:sz w:val="24"/>
          <w:u w:val="single"/>
        </w:rPr>
        <w:t xml:space="preserve"> </w:t>
      </w:r>
      <w:r>
        <w:rPr>
          <w:rFonts w:hint="eastAsia" w:ascii="宋体"/>
          <w:sz w:val="24"/>
          <w:u w:val="single"/>
        </w:rPr>
        <w:t>HBZ-1911</w:t>
      </w:r>
      <w:r>
        <w:rPr>
          <w:rFonts w:hint="eastAsia" w:ascii="宋体"/>
          <w:sz w:val="24"/>
          <w:u w:val="single"/>
          <w:lang w:val="en-US" w:eastAsia="zh-CN"/>
        </w:rPr>
        <w:t>59</w:t>
      </w:r>
      <w:r>
        <w:rPr>
          <w:rFonts w:hint="eastAsia" w:ascii="宋体"/>
          <w:sz w:val="24"/>
          <w:u w:val="single"/>
        </w:rPr>
        <w:t>-BBBL01</w:t>
      </w:r>
      <w:r>
        <w:rPr>
          <w:rFonts w:hint="eastAsia" w:ascii="宋体" w:hAnsi="Arial"/>
          <w:sz w:val="24"/>
        </w:rPr>
        <w:t>号招标文件及有关附件均是本合同不可分割的组成部分</w:t>
      </w:r>
      <w:r>
        <w:rPr>
          <w:rFonts w:hint="eastAsia" w:ascii="宋体" w:hAnsi="Arial"/>
          <w:spacing w:val="-46"/>
          <w:sz w:val="24"/>
        </w:rPr>
        <w:t>，</w:t>
      </w:r>
      <w:r>
        <w:rPr>
          <w:rFonts w:hint="eastAsia" w:ascii="宋体" w:hAnsi="Arial"/>
          <w:sz w:val="24"/>
        </w:rPr>
        <w:t>这些文件包括但不限于：（</w:t>
      </w:r>
      <w:r>
        <w:rPr>
          <w:rFonts w:ascii="宋体" w:hAnsi="Arial"/>
          <w:sz w:val="24"/>
        </w:rPr>
        <w:t>1</w:t>
      </w:r>
      <w:r>
        <w:rPr>
          <w:rFonts w:hint="eastAsia" w:ascii="宋体" w:hAnsi="Arial"/>
          <w:sz w:val="24"/>
        </w:rPr>
        <w:t>）招标文</w:t>
      </w:r>
      <w:r>
        <w:rPr>
          <w:rFonts w:hint="eastAsia" w:ascii="宋体" w:hAnsi="Arial"/>
          <w:spacing w:val="-46"/>
          <w:sz w:val="24"/>
        </w:rPr>
        <w:t>件</w:t>
      </w:r>
      <w:r>
        <w:rPr>
          <w:rFonts w:hint="eastAsia" w:ascii="宋体" w:hAnsi="Arial"/>
          <w:sz w:val="24"/>
        </w:rPr>
        <w:t>（</w:t>
      </w:r>
      <w:r>
        <w:rPr>
          <w:rFonts w:ascii="宋体" w:hAnsi="Arial"/>
          <w:sz w:val="24"/>
        </w:rPr>
        <w:t>2</w:t>
      </w:r>
      <w:r>
        <w:rPr>
          <w:rFonts w:hint="eastAsia" w:ascii="宋体" w:hAnsi="Arial"/>
          <w:sz w:val="24"/>
        </w:rPr>
        <w:t>）乙方提供的投标文</w:t>
      </w:r>
      <w:r>
        <w:rPr>
          <w:rFonts w:hint="eastAsia" w:ascii="宋体" w:hAnsi="Arial"/>
          <w:spacing w:val="-15"/>
          <w:sz w:val="24"/>
        </w:rPr>
        <w:t>件</w:t>
      </w:r>
      <w:r>
        <w:rPr>
          <w:rFonts w:hint="eastAsia" w:ascii="宋体" w:hAnsi="Arial"/>
          <w:sz w:val="24"/>
        </w:rPr>
        <w:t>（</w:t>
      </w:r>
      <w:r>
        <w:rPr>
          <w:rFonts w:ascii="宋体" w:hAnsi="Arial"/>
          <w:sz w:val="24"/>
        </w:rPr>
        <w:t>3</w:t>
      </w:r>
      <w:r>
        <w:rPr>
          <w:rFonts w:hint="eastAsia" w:ascii="宋体" w:hAnsi="Arial"/>
          <w:spacing w:val="-15"/>
          <w:sz w:val="24"/>
        </w:rPr>
        <w:t>）</w:t>
      </w:r>
      <w:r>
        <w:rPr>
          <w:rFonts w:hint="eastAsia" w:ascii="宋体" w:hAnsi="Arial"/>
          <w:sz w:val="24"/>
        </w:rPr>
        <w:t>服务承诺</w:t>
      </w:r>
      <w:r>
        <w:rPr>
          <w:rFonts w:hint="eastAsia" w:ascii="宋体" w:hAnsi="Arial"/>
          <w:spacing w:val="-135"/>
          <w:sz w:val="24"/>
        </w:rPr>
        <w:t>；</w:t>
      </w:r>
      <w:r>
        <w:rPr>
          <w:rFonts w:hint="eastAsia" w:ascii="宋体" w:hAnsi="Arial"/>
          <w:sz w:val="24"/>
        </w:rPr>
        <w:t>（</w:t>
      </w:r>
      <w:r>
        <w:rPr>
          <w:rFonts w:ascii="宋体" w:hAnsi="Arial"/>
          <w:sz w:val="24"/>
        </w:rPr>
        <w:t>4</w:t>
      </w:r>
      <w:r>
        <w:rPr>
          <w:rFonts w:hint="eastAsia" w:ascii="宋体" w:hAnsi="Arial"/>
          <w:spacing w:val="-15"/>
          <w:sz w:val="24"/>
        </w:rPr>
        <w:t>）</w:t>
      </w:r>
      <w:r>
        <w:rPr>
          <w:rFonts w:hint="eastAsia" w:ascii="宋体" w:hAnsi="Arial"/>
          <w:spacing w:val="2"/>
          <w:sz w:val="24"/>
        </w:rPr>
        <w:t>甲</w:t>
      </w:r>
      <w:r>
        <w:rPr>
          <w:rFonts w:hint="eastAsia" w:ascii="宋体" w:hAnsi="Arial"/>
          <w:sz w:val="24"/>
        </w:rPr>
        <w:t>乙双方商定的其他文件</w:t>
      </w:r>
      <w:r>
        <w:rPr>
          <w:rFonts w:hint="eastAsia" w:ascii="宋体" w:hAnsi="Arial"/>
          <w:spacing w:val="-15"/>
          <w:sz w:val="24"/>
        </w:rPr>
        <w:t>。</w:t>
      </w:r>
      <w:r>
        <w:rPr>
          <w:rFonts w:hint="eastAsia" w:ascii="宋体" w:hAnsi="Arial"/>
          <w:sz w:val="24"/>
        </w:rPr>
        <w:t>以上附件顺序在前的具有优先解释权。</w:t>
      </w:r>
    </w:p>
    <w:p>
      <w:pPr>
        <w:kinsoku w:val="0"/>
        <w:overflowPunct w:val="0"/>
        <w:spacing w:line="360" w:lineRule="auto"/>
        <w:ind w:left="8" w:hanging="8"/>
        <w:rPr>
          <w:rFonts w:ascii="宋体" w:hAnsi="Arial"/>
          <w:sz w:val="24"/>
        </w:rPr>
      </w:pPr>
    </w:p>
    <w:p>
      <w:pPr>
        <w:kinsoku w:val="0"/>
        <w:overflowPunct w:val="0"/>
        <w:spacing w:line="360" w:lineRule="auto"/>
        <w:ind w:left="8" w:hanging="8"/>
        <w:rPr>
          <w:rFonts w:ascii="宋体" w:hAnsi="Arial"/>
          <w:sz w:val="24"/>
        </w:rPr>
      </w:pPr>
    </w:p>
    <w:p>
      <w:pPr>
        <w:kinsoku w:val="0"/>
        <w:overflowPunct w:val="0"/>
        <w:spacing w:line="360" w:lineRule="auto"/>
        <w:ind w:left="8" w:hanging="8"/>
        <w:rPr>
          <w:rFonts w:ascii="宋体" w:hAnsi="Arial"/>
          <w:sz w:val="24"/>
        </w:rPr>
      </w:pPr>
    </w:p>
    <w:p>
      <w:pPr>
        <w:kinsoku w:val="0"/>
        <w:overflowPunct w:val="0"/>
        <w:spacing w:line="360" w:lineRule="auto"/>
        <w:ind w:left="8" w:hanging="8"/>
        <w:rPr>
          <w:rFonts w:ascii="宋体" w:hAnsi="Arial"/>
          <w:sz w:val="24"/>
        </w:rPr>
      </w:pPr>
    </w:p>
    <w:p>
      <w:pPr>
        <w:kinsoku w:val="0"/>
        <w:overflowPunct w:val="0"/>
        <w:spacing w:line="360" w:lineRule="auto"/>
        <w:ind w:right="788"/>
        <w:rPr>
          <w:rFonts w:ascii="宋体" w:hAnsi="Arial"/>
          <w:sz w:val="24"/>
        </w:rPr>
      </w:pPr>
      <w:r>
        <w:rPr>
          <w:rFonts w:hint="eastAsia" w:ascii="宋体" w:hAnsi="Arial"/>
          <w:sz w:val="24"/>
        </w:rPr>
        <w:t>招标</w:t>
      </w:r>
      <w:r>
        <w:rPr>
          <w:rFonts w:hint="eastAsia" w:ascii="宋体" w:hAnsi="Arial"/>
          <w:spacing w:val="-43"/>
          <w:sz w:val="24"/>
        </w:rPr>
        <w:t>人</w:t>
      </w:r>
      <w:r>
        <w:rPr>
          <w:rFonts w:hint="eastAsia" w:ascii="宋体" w:hAnsi="Arial"/>
          <w:sz w:val="24"/>
        </w:rPr>
        <w:t>（甲方</w:t>
      </w:r>
      <w:r>
        <w:rPr>
          <w:rFonts w:hint="eastAsia" w:ascii="宋体" w:hAnsi="Arial"/>
          <w:spacing w:val="-120"/>
          <w:sz w:val="24"/>
        </w:rPr>
        <w:t>）</w:t>
      </w:r>
      <w:r>
        <w:rPr>
          <w:rFonts w:ascii="宋体" w:hAnsi="Arial"/>
          <w:sz w:val="24"/>
        </w:rPr>
        <w:t xml:space="preserve">  </w:t>
      </w:r>
      <w:r>
        <w:rPr>
          <w:rFonts w:hint="eastAsia" w:ascii="宋体" w:hAnsi="Arial"/>
          <w:sz w:val="24"/>
        </w:rPr>
        <w:t>：</w:t>
      </w:r>
      <w:r>
        <w:rPr>
          <w:rFonts w:ascii="宋体" w:hAnsi="Arial"/>
          <w:spacing w:val="76"/>
          <w:sz w:val="24"/>
        </w:rPr>
        <w:t xml:space="preserve"> </w:t>
      </w:r>
      <w:r>
        <w:rPr>
          <w:rFonts w:hint="eastAsia" w:ascii="宋体" w:hAnsi="Arial"/>
          <w:sz w:val="24"/>
        </w:rPr>
        <w:t>（</w:t>
      </w:r>
      <w:r>
        <w:rPr>
          <w:rFonts w:hint="eastAsia" w:ascii="宋体" w:hAnsi="Arial"/>
          <w:spacing w:val="-3"/>
          <w:sz w:val="24"/>
        </w:rPr>
        <w:t>公</w:t>
      </w:r>
      <w:r>
        <w:rPr>
          <w:rFonts w:hint="eastAsia" w:ascii="宋体" w:hAnsi="Arial"/>
          <w:sz w:val="24"/>
        </w:rPr>
        <w:t>章</w:t>
      </w:r>
      <w:r>
        <w:rPr>
          <w:rFonts w:hint="eastAsia" w:ascii="宋体" w:hAnsi="Arial"/>
          <w:spacing w:val="-44"/>
          <w:sz w:val="24"/>
        </w:rPr>
        <w:t>）</w:t>
      </w:r>
      <w:r>
        <w:rPr>
          <w:rFonts w:ascii="宋体" w:hAnsi="Arial"/>
          <w:sz w:val="24"/>
        </w:rPr>
        <w:t xml:space="preserve">            </w:t>
      </w:r>
      <w:r>
        <w:rPr>
          <w:rFonts w:hint="eastAsia" w:ascii="宋体" w:hAnsi="Arial"/>
          <w:sz w:val="24"/>
        </w:rPr>
        <w:t>供货</w:t>
      </w:r>
      <w:r>
        <w:rPr>
          <w:rFonts w:hint="eastAsia" w:ascii="宋体" w:hAnsi="Arial"/>
          <w:spacing w:val="-44"/>
          <w:sz w:val="24"/>
        </w:rPr>
        <w:t>人</w:t>
      </w:r>
      <w:r>
        <w:rPr>
          <w:rFonts w:hint="eastAsia" w:ascii="宋体" w:hAnsi="Arial"/>
          <w:sz w:val="24"/>
        </w:rPr>
        <w:t>（乙方</w:t>
      </w:r>
      <w:r>
        <w:rPr>
          <w:rFonts w:hint="eastAsia" w:ascii="宋体" w:hAnsi="Arial"/>
          <w:spacing w:val="-120"/>
          <w:sz w:val="24"/>
        </w:rPr>
        <w:t>）</w:t>
      </w:r>
      <w:r>
        <w:rPr>
          <w:rFonts w:ascii="宋体" w:hAnsi="Arial"/>
          <w:sz w:val="24"/>
        </w:rPr>
        <w:t xml:space="preserve">   </w:t>
      </w:r>
      <w:r>
        <w:rPr>
          <w:rFonts w:hint="eastAsia" w:ascii="宋体" w:hAnsi="Arial"/>
          <w:sz w:val="24"/>
        </w:rPr>
        <w:t>：（公</w:t>
      </w:r>
      <w:r>
        <w:rPr>
          <w:rFonts w:ascii="宋体" w:hAnsi="Arial"/>
          <w:sz w:val="24"/>
        </w:rPr>
        <w:t xml:space="preserve"> </w:t>
      </w:r>
      <w:r>
        <w:rPr>
          <w:rFonts w:hint="eastAsia" w:ascii="宋体" w:hAnsi="Arial"/>
          <w:sz w:val="24"/>
        </w:rPr>
        <w:t>章）</w:t>
      </w:r>
      <w:r>
        <w:rPr>
          <w:rFonts w:ascii="宋体" w:hAnsi="Arial"/>
          <w:sz w:val="24"/>
        </w:rPr>
        <w:t xml:space="preserve">  </w:t>
      </w:r>
    </w:p>
    <w:p>
      <w:pPr>
        <w:kinsoku w:val="0"/>
        <w:overflowPunct w:val="0"/>
        <w:spacing w:line="360" w:lineRule="auto"/>
        <w:rPr>
          <w:rFonts w:ascii="宋体" w:hAnsi="Arial"/>
          <w:sz w:val="24"/>
        </w:rPr>
      </w:pPr>
      <w:r>
        <w:rPr>
          <w:rFonts w:hint="eastAsia" w:ascii="宋体" w:hAnsi="Arial"/>
          <w:sz w:val="24"/>
        </w:rPr>
        <w:t>地址：</w:t>
      </w:r>
      <w:r>
        <w:rPr>
          <w:rFonts w:ascii="宋体" w:hAnsi="Arial"/>
          <w:sz w:val="24"/>
        </w:rPr>
        <w:t xml:space="preserve">                               </w:t>
      </w:r>
      <w:r>
        <w:rPr>
          <w:rFonts w:hint="eastAsia" w:ascii="宋体" w:hAnsi="Arial"/>
          <w:sz w:val="24"/>
        </w:rPr>
        <w:t>地址：</w:t>
      </w:r>
    </w:p>
    <w:p>
      <w:pPr>
        <w:spacing w:line="360" w:lineRule="auto"/>
        <w:rPr>
          <w:b/>
          <w:bCs/>
          <w:sz w:val="24"/>
        </w:rPr>
      </w:pPr>
      <w:r>
        <w:rPr>
          <w:rFonts w:hint="eastAsia"/>
          <w:sz w:val="24"/>
        </w:rPr>
        <w:t>法人代表：</w:t>
      </w:r>
      <w:r>
        <w:rPr>
          <w:sz w:val="24"/>
        </w:rPr>
        <w:t xml:space="preserve">                           </w:t>
      </w:r>
      <w:r>
        <w:rPr>
          <w:rFonts w:hint="eastAsia"/>
          <w:sz w:val="24"/>
        </w:rPr>
        <w:t>法人代表：</w:t>
      </w:r>
    </w:p>
    <w:p>
      <w:pPr>
        <w:spacing w:line="360" w:lineRule="auto"/>
        <w:rPr>
          <w:sz w:val="24"/>
        </w:rPr>
      </w:pPr>
      <w:r>
        <w:rPr>
          <w:rFonts w:hint="eastAsia"/>
          <w:sz w:val="24"/>
        </w:rPr>
        <w:t>委托代理人：</w:t>
      </w:r>
      <w:r>
        <w:rPr>
          <w:sz w:val="24"/>
        </w:rPr>
        <w:t xml:space="preserve">                         </w:t>
      </w:r>
      <w:r>
        <w:rPr>
          <w:rFonts w:hint="eastAsia"/>
          <w:sz w:val="24"/>
        </w:rPr>
        <w:t>委托代理人：</w:t>
      </w:r>
    </w:p>
    <w:p>
      <w:pPr>
        <w:kinsoku w:val="0"/>
        <w:overflowPunct w:val="0"/>
        <w:spacing w:line="360" w:lineRule="auto"/>
        <w:rPr>
          <w:rFonts w:ascii="宋体" w:hAnsi="Arial"/>
          <w:sz w:val="24"/>
        </w:rPr>
      </w:pPr>
      <w:r>
        <w:rPr>
          <w:rFonts w:hint="eastAsia" w:ascii="宋体" w:hAnsi="Arial"/>
          <w:sz w:val="24"/>
        </w:rPr>
        <w:t>电话：</w:t>
      </w:r>
      <w:r>
        <w:rPr>
          <w:rFonts w:ascii="宋体" w:hAnsi="Arial"/>
          <w:sz w:val="24"/>
        </w:rPr>
        <w:t xml:space="preserve">                               </w:t>
      </w:r>
      <w:r>
        <w:rPr>
          <w:rFonts w:hint="eastAsia" w:ascii="宋体" w:hAnsi="Arial"/>
          <w:sz w:val="24"/>
        </w:rPr>
        <w:t>电话：</w:t>
      </w:r>
    </w:p>
    <w:p>
      <w:pPr>
        <w:spacing w:line="360" w:lineRule="auto"/>
        <w:rPr>
          <w:sz w:val="24"/>
        </w:rPr>
      </w:pPr>
      <w:r>
        <w:rPr>
          <w:rFonts w:hint="eastAsia"/>
          <w:sz w:val="24"/>
        </w:rPr>
        <w:t>开户银行：</w:t>
      </w:r>
      <w:r>
        <w:rPr>
          <w:sz w:val="24"/>
        </w:rPr>
        <w:t xml:space="preserve">                           </w:t>
      </w:r>
      <w:r>
        <w:rPr>
          <w:rFonts w:hint="eastAsia"/>
          <w:sz w:val="24"/>
        </w:rPr>
        <w:t>开户银行：</w:t>
      </w:r>
      <w:r>
        <w:rPr>
          <w:sz w:val="24"/>
        </w:rPr>
        <w:t xml:space="preserve"> </w:t>
      </w:r>
    </w:p>
    <w:p>
      <w:pPr>
        <w:spacing w:line="360" w:lineRule="auto"/>
        <w:rPr>
          <w:sz w:val="24"/>
        </w:rPr>
      </w:pPr>
      <w:r>
        <w:rPr>
          <w:rFonts w:hint="eastAsia"/>
          <w:sz w:val="24"/>
        </w:rPr>
        <w:t>账号：</w:t>
      </w:r>
      <w:r>
        <w:rPr>
          <w:sz w:val="24"/>
        </w:rPr>
        <w:t xml:space="preserve">                               </w:t>
      </w:r>
      <w:r>
        <w:rPr>
          <w:rFonts w:hint="eastAsia"/>
          <w:sz w:val="24"/>
        </w:rPr>
        <w:t>账号：</w:t>
      </w:r>
    </w:p>
    <w:p>
      <w:pPr>
        <w:tabs>
          <w:tab w:val="left" w:pos="2066"/>
        </w:tabs>
        <w:spacing w:line="360" w:lineRule="auto"/>
        <w:rPr>
          <w:sz w:val="24"/>
        </w:rPr>
      </w:pPr>
      <w:r>
        <w:rPr>
          <w:sz w:val="24"/>
          <w:u w:val="single"/>
        </w:rPr>
        <w:t xml:space="preserve">         </w:t>
      </w:r>
      <w:r>
        <w:rPr>
          <w:rFonts w:hint="eastAsia"/>
          <w:sz w:val="24"/>
        </w:rPr>
        <w:t>年</w:t>
      </w:r>
      <w:r>
        <w:rPr>
          <w:sz w:val="24"/>
        </w:rPr>
        <w:t xml:space="preserve"> </w:t>
      </w:r>
      <w:r>
        <w:rPr>
          <w:sz w:val="24"/>
          <w:u w:val="single"/>
        </w:rPr>
        <w:t xml:space="preserve">     </w:t>
      </w:r>
      <w:r>
        <w:rPr>
          <w:rFonts w:hint="eastAsia"/>
          <w:sz w:val="24"/>
        </w:rPr>
        <w:t>月</w:t>
      </w:r>
      <w:r>
        <w:rPr>
          <w:sz w:val="24"/>
        </w:rPr>
        <w:t xml:space="preserve"> </w:t>
      </w:r>
      <w:r>
        <w:rPr>
          <w:sz w:val="24"/>
          <w:u w:val="single"/>
        </w:rPr>
        <w:t xml:space="preserve">      </w:t>
      </w:r>
      <w:r>
        <w:rPr>
          <w:rFonts w:hint="eastAsia"/>
          <w:sz w:val="24"/>
        </w:rPr>
        <w:t>日</w:t>
      </w:r>
      <w:r>
        <w:rPr>
          <w:sz w:val="24"/>
        </w:rPr>
        <w:t xml:space="preserve">          </w:t>
      </w:r>
      <w:r>
        <w:rPr>
          <w:sz w:val="24"/>
          <w:u w:val="single"/>
        </w:rPr>
        <w:t xml:space="preserve">           </w:t>
      </w:r>
      <w:r>
        <w:rPr>
          <w:rFonts w:hint="eastAsia"/>
          <w:sz w:val="24"/>
        </w:rPr>
        <w:t>年</w:t>
      </w:r>
      <w:r>
        <w:rPr>
          <w:sz w:val="24"/>
        </w:rPr>
        <w:t xml:space="preserve"> </w:t>
      </w:r>
      <w:r>
        <w:rPr>
          <w:sz w:val="24"/>
          <w:u w:val="single"/>
        </w:rPr>
        <w:t xml:space="preserve">      </w:t>
      </w:r>
      <w:r>
        <w:rPr>
          <w:rFonts w:hint="eastAsia"/>
          <w:sz w:val="24"/>
        </w:rPr>
        <w:t>月</w:t>
      </w:r>
      <w:r>
        <w:rPr>
          <w:sz w:val="24"/>
          <w:u w:val="single"/>
        </w:rPr>
        <w:t xml:space="preserve">       </w:t>
      </w:r>
      <w:r>
        <w:rPr>
          <w:rFonts w:hint="eastAsia"/>
          <w:sz w:val="24"/>
        </w:rPr>
        <w:t>日</w:t>
      </w:r>
      <w:r>
        <w:rPr>
          <w:sz w:val="24"/>
        </w:rPr>
        <w:t xml:space="preserve"> </w:t>
      </w: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tabs>
          <w:tab w:val="left" w:pos="2066"/>
        </w:tabs>
        <w:spacing w:line="360" w:lineRule="auto"/>
        <w:rPr>
          <w:sz w:val="24"/>
        </w:rPr>
      </w:pPr>
    </w:p>
    <w:p>
      <w:pPr>
        <w:spacing w:before="150" w:line="440" w:lineRule="exact"/>
        <w:rPr>
          <w:sz w:val="24"/>
        </w:rPr>
      </w:pPr>
    </w:p>
    <w:p>
      <w:pPr>
        <w:pStyle w:val="2"/>
        <w:numPr>
          <w:ilvl w:val="0"/>
          <w:numId w:val="0"/>
        </w:numPr>
      </w:pPr>
      <w:bookmarkStart w:id="35" w:name="_Toc13732428"/>
      <w:bookmarkStart w:id="36" w:name="_Toc491005870"/>
      <w:r>
        <w:rPr>
          <w:rFonts w:hint="eastAsia"/>
        </w:rPr>
        <w:t>第六章</w:t>
      </w:r>
      <w:r>
        <w:t xml:space="preserve"> </w:t>
      </w:r>
      <w:r>
        <w:rPr>
          <w:rFonts w:hint="eastAsia"/>
        </w:rPr>
        <w:t>投标文件格式</w:t>
      </w:r>
      <w:bookmarkEnd w:id="35"/>
      <w:bookmarkEnd w:id="36"/>
    </w:p>
    <w:p>
      <w:pPr>
        <w:jc w:val="center"/>
        <w:rPr>
          <w:b/>
          <w:sz w:val="28"/>
          <w:szCs w:val="28"/>
        </w:rPr>
      </w:pPr>
      <w:r>
        <w:rPr>
          <w:rFonts w:hint="eastAsia"/>
          <w:b/>
          <w:sz w:val="28"/>
          <w:szCs w:val="28"/>
        </w:rPr>
        <w:t>一、投标承诺书</w:t>
      </w:r>
    </w:p>
    <w:p>
      <w:pPr>
        <w:spacing w:before="150" w:line="440" w:lineRule="exact"/>
        <w:rPr>
          <w:sz w:val="24"/>
        </w:rPr>
      </w:pPr>
      <w:r>
        <w:rPr>
          <w:rFonts w:hint="eastAsia"/>
          <w:sz w:val="24"/>
        </w:rPr>
        <w:t>致合肥百货大楼集团蚌埠百大购物中心有限责任公司宝龙店：</w:t>
      </w:r>
    </w:p>
    <w:p>
      <w:pPr>
        <w:spacing w:line="440" w:lineRule="exact"/>
        <w:ind w:firstLine="360"/>
        <w:rPr>
          <w:sz w:val="24"/>
        </w:rPr>
      </w:pPr>
      <w:r>
        <w:rPr>
          <w:rFonts w:hint="eastAsia"/>
          <w:sz w:val="24"/>
        </w:rPr>
        <w:t>根据贵司号招标文件要求，我司签字代表（姓名、职务）已被正式授权代表投标人（投标人名称）提交下述文件：</w:t>
      </w:r>
    </w:p>
    <w:p>
      <w:pPr>
        <w:spacing w:line="440" w:lineRule="exact"/>
        <w:ind w:firstLine="360" w:firstLineChars="150"/>
        <w:rPr>
          <w:sz w:val="24"/>
        </w:rPr>
      </w:pPr>
      <w:r>
        <w:rPr>
          <w:rFonts w:hint="eastAsia"/>
          <w:sz w:val="24"/>
        </w:rPr>
        <w:t>⑴开标一览表</w:t>
      </w:r>
    </w:p>
    <w:p>
      <w:pPr>
        <w:spacing w:line="440" w:lineRule="exact"/>
        <w:ind w:firstLine="360" w:firstLineChars="150"/>
        <w:rPr>
          <w:sz w:val="24"/>
        </w:rPr>
      </w:pPr>
      <w:r>
        <w:rPr>
          <w:rFonts w:hint="eastAsia"/>
          <w:sz w:val="24"/>
        </w:rPr>
        <w:t>⑵服务方案</w:t>
      </w:r>
    </w:p>
    <w:p>
      <w:pPr>
        <w:spacing w:line="440" w:lineRule="exact"/>
        <w:ind w:firstLine="360" w:firstLineChars="150"/>
        <w:rPr>
          <w:sz w:val="24"/>
        </w:rPr>
      </w:pPr>
      <w:r>
        <w:rPr>
          <w:rFonts w:hint="eastAsia"/>
          <w:sz w:val="24"/>
        </w:rPr>
        <w:t>⑶资质文件</w:t>
      </w:r>
    </w:p>
    <w:p>
      <w:pPr>
        <w:spacing w:line="440" w:lineRule="exact"/>
        <w:ind w:firstLine="360" w:firstLineChars="150"/>
        <w:rPr>
          <w:sz w:val="24"/>
        </w:rPr>
      </w:pPr>
      <w:r>
        <w:rPr>
          <w:rFonts w:hint="eastAsia"/>
          <w:sz w:val="24"/>
        </w:rPr>
        <w:t>⑷相关证明</w:t>
      </w:r>
    </w:p>
    <w:p>
      <w:pPr>
        <w:spacing w:line="440" w:lineRule="exact"/>
        <w:ind w:firstLine="360" w:firstLineChars="150"/>
        <w:rPr>
          <w:sz w:val="24"/>
        </w:rPr>
      </w:pPr>
      <w:r>
        <w:rPr>
          <w:rFonts w:hint="eastAsia" w:ascii="宋体" w:hAnsi="宋体"/>
          <w:sz w:val="24"/>
        </w:rPr>
        <w:t>⑸</w:t>
      </w:r>
      <w:r>
        <w:rPr>
          <w:rFonts w:hint="eastAsia"/>
          <w:sz w:val="24"/>
        </w:rPr>
        <w:t>工程量清单报价表</w:t>
      </w:r>
    </w:p>
    <w:p>
      <w:pPr>
        <w:spacing w:line="440" w:lineRule="exact"/>
        <w:ind w:firstLine="120" w:firstLineChars="50"/>
        <w:rPr>
          <w:sz w:val="24"/>
        </w:rPr>
      </w:pPr>
      <w:r>
        <w:rPr>
          <w:rFonts w:hint="eastAsia"/>
          <w:sz w:val="24"/>
        </w:rPr>
        <w:t>同时，签字代表宣布承诺如下：</w:t>
      </w:r>
    </w:p>
    <w:p>
      <w:pPr>
        <w:spacing w:line="440" w:lineRule="exact"/>
        <w:ind w:firstLine="420"/>
        <w:rPr>
          <w:sz w:val="24"/>
        </w:rPr>
      </w:pPr>
      <w:r>
        <w:rPr>
          <w:rFonts w:hint="eastAsia"/>
          <w:sz w:val="24"/>
        </w:rPr>
        <w:t>⑴投标人已详细阅读全部招标文件（含修改文件），并理解其实质性内容，同意承担其规定的全部义务和相关责任。</w:t>
      </w:r>
    </w:p>
    <w:p>
      <w:pPr>
        <w:spacing w:line="440" w:lineRule="exact"/>
        <w:ind w:firstLine="420"/>
        <w:rPr>
          <w:sz w:val="24"/>
        </w:rPr>
      </w:pPr>
      <w:r>
        <w:rPr>
          <w:rFonts w:hint="eastAsia"/>
          <w:sz w:val="24"/>
        </w:rPr>
        <w:t>⑵投标人严格按照招标文件的规定报价，如被确定为中标人后，将全面履行合同。</w:t>
      </w:r>
    </w:p>
    <w:p>
      <w:pPr>
        <w:spacing w:line="440" w:lineRule="exact"/>
        <w:ind w:firstLine="420"/>
        <w:rPr>
          <w:sz w:val="24"/>
        </w:rPr>
      </w:pPr>
      <w:r>
        <w:rPr>
          <w:rFonts w:hint="eastAsia"/>
          <w:sz w:val="24"/>
        </w:rPr>
        <w:t>⑶投标人在交付</w:t>
      </w:r>
      <w:r>
        <w:rPr>
          <w:rFonts w:hint="eastAsia"/>
          <w:bCs/>
          <w:sz w:val="24"/>
        </w:rPr>
        <w:t>投标</w:t>
      </w:r>
      <w:r>
        <w:rPr>
          <w:rFonts w:hint="eastAsia"/>
          <w:sz w:val="24"/>
        </w:rPr>
        <w:t>保证金后，如出现串标、毁标、中标后不签订合同等违规行为，招标人有权没收该保证金。</w:t>
      </w:r>
    </w:p>
    <w:p>
      <w:pPr>
        <w:spacing w:line="440" w:lineRule="exact"/>
        <w:ind w:firstLine="420"/>
        <w:rPr>
          <w:sz w:val="24"/>
        </w:rPr>
      </w:pPr>
      <w:r>
        <w:rPr>
          <w:rFonts w:hint="eastAsia"/>
          <w:sz w:val="24"/>
        </w:rPr>
        <w:t>⑷投标人近三年来没有骗取中标和严重违约及重大质量、安全问题。</w:t>
      </w:r>
    </w:p>
    <w:p>
      <w:pPr>
        <w:spacing w:line="440" w:lineRule="exact"/>
        <w:ind w:firstLine="420"/>
        <w:rPr>
          <w:sz w:val="24"/>
        </w:rPr>
      </w:pPr>
      <w:r>
        <w:rPr>
          <w:rFonts w:hint="eastAsia"/>
          <w:sz w:val="24"/>
        </w:rPr>
        <w:t>⑸投标人完全理解招标人不以最低报价作为确定中标人唯一标准的评定标方式。</w:t>
      </w:r>
    </w:p>
    <w:p>
      <w:pPr>
        <w:spacing w:line="440" w:lineRule="exact"/>
        <w:ind w:firstLine="420" w:firstLineChars="175"/>
        <w:rPr>
          <w:sz w:val="24"/>
        </w:rPr>
      </w:pPr>
      <w:r>
        <w:rPr>
          <w:rFonts w:hint="eastAsia"/>
          <w:sz w:val="24"/>
        </w:rPr>
        <w:t>⑹投标人同意提供招标人可能要求的与其投标有关的一切数据或资料。</w:t>
      </w:r>
    </w:p>
    <w:p>
      <w:pPr>
        <w:spacing w:line="440" w:lineRule="exact"/>
        <w:rPr>
          <w:sz w:val="24"/>
        </w:rPr>
      </w:pPr>
    </w:p>
    <w:p>
      <w:pPr>
        <w:spacing w:line="440" w:lineRule="exact"/>
        <w:ind w:firstLine="240" w:firstLineChars="100"/>
        <w:rPr>
          <w:sz w:val="24"/>
        </w:rPr>
      </w:pPr>
      <w:r>
        <w:rPr>
          <w:rFonts w:hint="eastAsia"/>
          <w:sz w:val="24"/>
        </w:rPr>
        <w:t>特此承诺</w:t>
      </w:r>
    </w:p>
    <w:p>
      <w:pPr>
        <w:spacing w:line="440" w:lineRule="exact"/>
        <w:rPr>
          <w:sz w:val="24"/>
        </w:rPr>
      </w:pPr>
    </w:p>
    <w:p>
      <w:pPr>
        <w:spacing w:line="440" w:lineRule="exact"/>
        <w:jc w:val="right"/>
        <w:rPr>
          <w:sz w:val="24"/>
        </w:rPr>
      </w:pPr>
    </w:p>
    <w:p>
      <w:pPr>
        <w:spacing w:line="500" w:lineRule="exact"/>
        <w:jc w:val="center"/>
        <w:rPr>
          <w:sz w:val="24"/>
        </w:rPr>
      </w:pPr>
      <w:r>
        <w:rPr>
          <w:rFonts w:hint="eastAsia"/>
          <w:sz w:val="24"/>
        </w:rPr>
        <w:t xml:space="preserve">                               投标人（公章）：</w:t>
      </w:r>
    </w:p>
    <w:p>
      <w:pPr>
        <w:spacing w:line="500" w:lineRule="exact"/>
        <w:jc w:val="center"/>
        <w:rPr>
          <w:sz w:val="24"/>
        </w:rPr>
      </w:pPr>
      <w:r>
        <w:rPr>
          <w:rFonts w:hint="eastAsia"/>
          <w:sz w:val="24"/>
        </w:rPr>
        <w:t xml:space="preserve">                                企业法人（签字）：</w:t>
      </w:r>
    </w:p>
    <w:p>
      <w:pPr>
        <w:spacing w:line="500" w:lineRule="exact"/>
        <w:jc w:val="center"/>
        <w:rPr>
          <w:sz w:val="24"/>
        </w:rPr>
      </w:pPr>
      <w:r>
        <w:rPr>
          <w:rFonts w:hint="eastAsia"/>
          <w:sz w:val="24"/>
        </w:rPr>
        <w:t xml:space="preserve">                                 授权代表（签字）：</w:t>
      </w:r>
    </w:p>
    <w:p>
      <w:pPr>
        <w:spacing w:line="500" w:lineRule="exact"/>
        <w:jc w:val="center"/>
        <w:rPr>
          <w:sz w:val="24"/>
        </w:rPr>
      </w:pPr>
      <w:r>
        <w:rPr>
          <w:rFonts w:hint="eastAsia"/>
          <w:sz w:val="24"/>
        </w:rPr>
        <w:t xml:space="preserve">                                   二〇一九年</w:t>
      </w:r>
      <w:r>
        <w:rPr>
          <w:sz w:val="24"/>
        </w:rPr>
        <w:t xml:space="preserve"> </w:t>
      </w:r>
      <w:r>
        <w:rPr>
          <w:rFonts w:hint="eastAsia"/>
          <w:sz w:val="24"/>
        </w:rPr>
        <w:t xml:space="preserve">  月</w:t>
      </w:r>
      <w:r>
        <w:rPr>
          <w:sz w:val="24"/>
        </w:rPr>
        <w:t xml:space="preserve"> </w:t>
      </w:r>
      <w:r>
        <w:rPr>
          <w:rFonts w:hint="eastAsia"/>
          <w:sz w:val="24"/>
        </w:rPr>
        <w:t xml:space="preserve">  日</w:t>
      </w:r>
    </w:p>
    <w:p/>
    <w:p>
      <w:pPr>
        <w:jc w:val="center"/>
      </w:pPr>
    </w:p>
    <w:p>
      <w:pPr>
        <w:jc w:val="center"/>
      </w:pPr>
    </w:p>
    <w:p>
      <w:pPr>
        <w:jc w:val="center"/>
        <w:rPr>
          <w:b/>
          <w:sz w:val="28"/>
          <w:szCs w:val="28"/>
        </w:rPr>
      </w:pPr>
      <w:r>
        <w:rPr>
          <w:rFonts w:hint="eastAsia"/>
          <w:b/>
          <w:sz w:val="28"/>
          <w:szCs w:val="28"/>
        </w:rPr>
        <w:t>二、开标一览表</w:t>
      </w:r>
    </w:p>
    <w:p/>
    <w:tbl>
      <w:tblPr>
        <w:tblStyle w:val="25"/>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81"/>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79" w:type="dxa"/>
            <w:gridSpan w:val="2"/>
            <w:vAlign w:val="center"/>
          </w:tcPr>
          <w:p>
            <w:pPr>
              <w:jc w:val="center"/>
              <w:rPr>
                <w:rFonts w:ascii="宋体"/>
                <w:b/>
                <w:sz w:val="24"/>
              </w:rPr>
            </w:pPr>
            <w:r>
              <w:rPr>
                <w:rFonts w:hint="eastAsia" w:ascii="宋体" w:hAnsi="宋体"/>
                <w:b/>
                <w:sz w:val="24"/>
              </w:rPr>
              <w:t>项目名称</w:t>
            </w:r>
          </w:p>
        </w:tc>
        <w:tc>
          <w:tcPr>
            <w:tcW w:w="7176" w:type="dxa"/>
            <w:vAlign w:val="center"/>
          </w:tcPr>
          <w:p>
            <w:pPr>
              <w:jc w:val="center"/>
              <w:rPr>
                <w:sz w:val="24"/>
              </w:rPr>
            </w:pPr>
            <w:r>
              <w:rPr>
                <w:rFonts w:hint="eastAsia"/>
                <w:sz w:val="24"/>
              </w:rPr>
              <w:t>百大宝龙店视频监控系统升级改造工程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79" w:type="dxa"/>
            <w:gridSpan w:val="2"/>
            <w:vAlign w:val="center"/>
          </w:tcPr>
          <w:p>
            <w:pPr>
              <w:jc w:val="center"/>
              <w:rPr>
                <w:rFonts w:ascii="宋体"/>
                <w:b/>
                <w:sz w:val="24"/>
              </w:rPr>
            </w:pPr>
            <w:r>
              <w:rPr>
                <w:rFonts w:hint="eastAsia" w:ascii="宋体" w:hAnsi="宋体"/>
                <w:b/>
                <w:sz w:val="24"/>
              </w:rPr>
              <w:t>招标编号</w:t>
            </w:r>
          </w:p>
        </w:tc>
        <w:tc>
          <w:tcPr>
            <w:tcW w:w="7176" w:type="dxa"/>
            <w:vAlign w:val="center"/>
          </w:tcPr>
          <w:p>
            <w:pPr>
              <w:rPr>
                <w:rFonts w:asci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79" w:type="dxa"/>
            <w:gridSpan w:val="2"/>
            <w:vAlign w:val="center"/>
          </w:tcPr>
          <w:p>
            <w:pPr>
              <w:jc w:val="center"/>
              <w:rPr>
                <w:rFonts w:ascii="宋体"/>
                <w:b/>
                <w:sz w:val="24"/>
              </w:rPr>
            </w:pPr>
            <w:r>
              <w:rPr>
                <w:rFonts w:hint="eastAsia" w:ascii="宋体" w:hAnsi="宋体"/>
                <w:b/>
                <w:sz w:val="24"/>
              </w:rPr>
              <w:t>投标人全称</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9755" w:type="dxa"/>
            <w:gridSpan w:val="3"/>
            <w:vAlign w:val="center"/>
          </w:tcPr>
          <w:p>
            <w:pPr>
              <w:rPr>
                <w:rFonts w:ascii="宋体"/>
                <w:b/>
                <w:sz w:val="24"/>
              </w:rPr>
            </w:pPr>
            <w:r>
              <w:rPr>
                <w:rFonts w:hint="eastAsia" w:ascii="宋体" w:hAnsi="宋体"/>
                <w:b/>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98" w:type="dxa"/>
            <w:vAlign w:val="center"/>
          </w:tcPr>
          <w:p>
            <w:pPr>
              <w:jc w:val="center"/>
              <w:rPr>
                <w:rFonts w:ascii="宋体"/>
                <w:sz w:val="24"/>
              </w:rPr>
            </w:pPr>
            <w:r>
              <w:rPr>
                <w:rFonts w:ascii="宋体" w:hAnsi="宋体"/>
                <w:sz w:val="24"/>
              </w:rPr>
              <w:t>1</w:t>
            </w:r>
          </w:p>
        </w:tc>
        <w:tc>
          <w:tcPr>
            <w:tcW w:w="1981" w:type="dxa"/>
            <w:vAlign w:val="center"/>
          </w:tcPr>
          <w:p>
            <w:pPr>
              <w:jc w:val="center"/>
              <w:rPr>
                <w:rFonts w:ascii="宋体"/>
                <w:sz w:val="24"/>
              </w:rPr>
            </w:pPr>
            <w:r>
              <w:rPr>
                <w:rFonts w:hint="eastAsia" w:ascii="宋体" w:hAnsi="宋体"/>
                <w:sz w:val="24"/>
              </w:rPr>
              <w:t>工期</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98" w:type="dxa"/>
            <w:vAlign w:val="center"/>
          </w:tcPr>
          <w:p>
            <w:pPr>
              <w:jc w:val="center"/>
              <w:rPr>
                <w:rFonts w:ascii="宋体"/>
                <w:sz w:val="24"/>
              </w:rPr>
            </w:pPr>
            <w:r>
              <w:rPr>
                <w:rFonts w:ascii="宋体" w:hAnsi="宋体"/>
                <w:sz w:val="24"/>
              </w:rPr>
              <w:t>2</w:t>
            </w:r>
          </w:p>
        </w:tc>
        <w:tc>
          <w:tcPr>
            <w:tcW w:w="1981" w:type="dxa"/>
            <w:vAlign w:val="center"/>
          </w:tcPr>
          <w:p>
            <w:pPr>
              <w:jc w:val="center"/>
              <w:rPr>
                <w:rFonts w:ascii="宋体"/>
                <w:sz w:val="24"/>
              </w:rPr>
            </w:pPr>
            <w:r>
              <w:rPr>
                <w:rFonts w:hint="eastAsia" w:ascii="宋体"/>
                <w:sz w:val="24"/>
              </w:rPr>
              <w:t>质保期</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98" w:type="dxa"/>
            <w:vAlign w:val="center"/>
          </w:tcPr>
          <w:p>
            <w:pPr>
              <w:jc w:val="center"/>
              <w:rPr>
                <w:rFonts w:ascii="宋体"/>
                <w:sz w:val="24"/>
              </w:rPr>
            </w:pPr>
            <w:r>
              <w:rPr>
                <w:rFonts w:ascii="宋体" w:hAnsi="宋体"/>
                <w:sz w:val="24"/>
              </w:rPr>
              <w:t>3</w:t>
            </w:r>
          </w:p>
        </w:tc>
        <w:tc>
          <w:tcPr>
            <w:tcW w:w="1981" w:type="dxa"/>
            <w:vAlign w:val="center"/>
          </w:tcPr>
          <w:p>
            <w:pPr>
              <w:jc w:val="center"/>
              <w:rPr>
                <w:rFonts w:ascii="宋体"/>
                <w:sz w:val="24"/>
              </w:rPr>
            </w:pPr>
            <w:r>
              <w:rPr>
                <w:rFonts w:hint="eastAsia" w:ascii="宋体" w:hAnsi="宋体"/>
                <w:sz w:val="24"/>
              </w:rPr>
              <w:t>付款方式</w:t>
            </w:r>
          </w:p>
        </w:tc>
        <w:tc>
          <w:tcPr>
            <w:tcW w:w="7176" w:type="dxa"/>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755" w:type="dxa"/>
            <w:gridSpan w:val="3"/>
            <w:vAlign w:val="center"/>
          </w:tcPr>
          <w:p>
            <w:pPr>
              <w:rPr>
                <w:rFonts w:ascii="宋体"/>
                <w:b/>
                <w:sz w:val="24"/>
              </w:rPr>
            </w:pPr>
            <w:r>
              <w:rPr>
                <w:rFonts w:hint="eastAsia" w:ascii="宋体" w:hAnsi="宋体"/>
                <w:b/>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 w:hRule="atLeast"/>
          <w:jc w:val="center"/>
        </w:trPr>
        <w:tc>
          <w:tcPr>
            <w:tcW w:w="598" w:type="dxa"/>
            <w:vAlign w:val="center"/>
          </w:tcPr>
          <w:p>
            <w:pPr>
              <w:jc w:val="center"/>
              <w:rPr>
                <w:rFonts w:ascii="宋体"/>
                <w:sz w:val="24"/>
              </w:rPr>
            </w:pPr>
            <w:r>
              <w:rPr>
                <w:rFonts w:ascii="宋体" w:hAnsi="宋体"/>
                <w:sz w:val="24"/>
              </w:rPr>
              <w:t>1</w:t>
            </w:r>
          </w:p>
        </w:tc>
        <w:tc>
          <w:tcPr>
            <w:tcW w:w="1981" w:type="dxa"/>
            <w:vAlign w:val="center"/>
          </w:tcPr>
          <w:p>
            <w:pPr>
              <w:jc w:val="center"/>
              <w:rPr>
                <w:rFonts w:ascii="宋体"/>
                <w:sz w:val="24"/>
              </w:rPr>
            </w:pPr>
            <w:r>
              <w:rPr>
                <w:rFonts w:hint="eastAsia" w:ascii="宋体" w:hAnsi="宋体"/>
                <w:sz w:val="24"/>
              </w:rPr>
              <w:t>投标报价</w:t>
            </w:r>
          </w:p>
        </w:tc>
        <w:tc>
          <w:tcPr>
            <w:tcW w:w="7176" w:type="dxa"/>
            <w:vAlign w:val="center"/>
          </w:tcPr>
          <w:p>
            <w:pPr>
              <w:widowControl/>
              <w:spacing w:line="520" w:lineRule="exact"/>
              <w:rPr>
                <w:rFonts w:asci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w:t>
            </w:r>
            <w:r>
              <w:rPr>
                <w:rFonts w:ascii="宋体" w:hAnsi="宋体" w:cs="宋体"/>
                <w:kern w:val="0"/>
                <w:sz w:val="24"/>
                <w:u w:val="single"/>
              </w:rPr>
              <w:t xml:space="preserve">                  </w:t>
            </w:r>
          </w:p>
          <w:p>
            <w:pPr>
              <w:rPr>
                <w:rFonts w:ascii="宋体"/>
                <w:sz w:val="24"/>
              </w:rPr>
            </w:pPr>
            <w:r>
              <w:rPr>
                <w:rFonts w:hint="eastAsia" w:ascii="宋体" w:hAnsi="宋体" w:cs="宋体"/>
                <w:kern w:val="0"/>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598" w:type="dxa"/>
            <w:vAlign w:val="center"/>
          </w:tcPr>
          <w:p>
            <w:pPr>
              <w:jc w:val="center"/>
              <w:rPr>
                <w:rFonts w:ascii="宋体"/>
                <w:sz w:val="24"/>
              </w:rPr>
            </w:pPr>
            <w:r>
              <w:rPr>
                <w:rFonts w:ascii="宋体" w:hAnsi="宋体"/>
                <w:sz w:val="24"/>
              </w:rPr>
              <w:t>2</w:t>
            </w:r>
          </w:p>
        </w:tc>
        <w:tc>
          <w:tcPr>
            <w:tcW w:w="1981" w:type="dxa"/>
            <w:vAlign w:val="center"/>
          </w:tcPr>
          <w:p>
            <w:pPr>
              <w:jc w:val="center"/>
              <w:rPr>
                <w:rFonts w:ascii="宋体"/>
                <w:sz w:val="24"/>
              </w:rPr>
            </w:pPr>
            <w:r>
              <w:rPr>
                <w:rFonts w:hint="eastAsia" w:ascii="宋体" w:hAnsi="宋体"/>
                <w:sz w:val="24"/>
              </w:rPr>
              <w:t>备注</w:t>
            </w:r>
          </w:p>
        </w:tc>
        <w:tc>
          <w:tcPr>
            <w:tcW w:w="7176" w:type="dxa"/>
            <w:vAlign w:val="center"/>
          </w:tcPr>
          <w:p>
            <w:pPr>
              <w:rPr>
                <w:rFonts w:ascii="宋体"/>
                <w:sz w:val="24"/>
              </w:rPr>
            </w:pPr>
          </w:p>
        </w:tc>
      </w:tr>
    </w:tbl>
    <w:p>
      <w:pPr>
        <w:spacing w:line="700" w:lineRule="exact"/>
        <w:rPr>
          <w:rFonts w:ascii="宋体"/>
          <w:b/>
          <w:sz w:val="24"/>
        </w:rPr>
      </w:pPr>
      <w:r>
        <w:rPr>
          <w:rFonts w:hint="eastAsia" w:ascii="宋体" w:hAnsi="宋体"/>
          <w:b/>
          <w:sz w:val="24"/>
        </w:rPr>
        <w:t>投标人（签章）：</w:t>
      </w:r>
      <w:r>
        <w:rPr>
          <w:rFonts w:ascii="宋体" w:hAnsi="宋体"/>
          <w:b/>
          <w:sz w:val="24"/>
        </w:rPr>
        <w:t xml:space="preserve">                                </w:t>
      </w:r>
      <w:r>
        <w:rPr>
          <w:rFonts w:hint="eastAsia" w:ascii="宋体" w:hAnsi="宋体"/>
          <w:b/>
          <w:sz w:val="24"/>
        </w:rPr>
        <w:t>授权代表（签字）：</w:t>
      </w:r>
    </w:p>
    <w:p>
      <w:pPr>
        <w:spacing w:line="700" w:lineRule="exact"/>
        <w:rPr>
          <w:rFonts w:ascii="宋体" w:hAnsi="宋体"/>
          <w:b/>
          <w:sz w:val="24"/>
        </w:rPr>
      </w:pPr>
      <w:r>
        <w:rPr>
          <w:rFonts w:ascii="宋体" w:hAnsi="宋体"/>
          <w:b/>
          <w:sz w:val="24"/>
        </w:rPr>
        <w:t xml:space="preserve">                                              </w:t>
      </w:r>
      <w:r>
        <w:rPr>
          <w:rFonts w:hint="eastAsia" w:ascii="宋体" w:hAnsi="宋体"/>
          <w:b/>
          <w:sz w:val="24"/>
        </w:rPr>
        <w:t>二〇一九年</w:t>
      </w:r>
      <w:r>
        <w:rPr>
          <w:rFonts w:ascii="宋体" w:hAnsi="宋体"/>
          <w:b/>
          <w:sz w:val="24"/>
        </w:rPr>
        <w:t xml:space="preserve">   </w:t>
      </w:r>
      <w:r>
        <w:rPr>
          <w:rFonts w:hint="eastAsia" w:ascii="宋体" w:hAnsi="宋体"/>
          <w:b/>
          <w:sz w:val="24"/>
        </w:rPr>
        <w:t>月</w:t>
      </w:r>
      <w:r>
        <w:rPr>
          <w:rFonts w:ascii="宋体" w:hAnsi="宋体"/>
          <w:b/>
          <w:sz w:val="24"/>
        </w:rPr>
        <w:t xml:space="preserve">   </w:t>
      </w:r>
      <w:r>
        <w:rPr>
          <w:rFonts w:hint="eastAsia" w:ascii="宋体" w:hAnsi="宋体"/>
          <w:b/>
          <w:sz w:val="24"/>
        </w:rPr>
        <w:t>日</w:t>
      </w:r>
    </w:p>
    <w:p>
      <w:pPr>
        <w:spacing w:line="700" w:lineRule="exact"/>
        <w:rPr>
          <w:rFonts w:ascii="宋体"/>
          <w:b/>
          <w:sz w:val="24"/>
        </w:rPr>
      </w:pPr>
      <w:r>
        <w:rPr>
          <w:rFonts w:hint="eastAsia" w:ascii="宋体" w:hAnsi="宋体"/>
          <w:b/>
          <w:sz w:val="24"/>
        </w:rPr>
        <w:t>联系方式：</w:t>
      </w:r>
    </w:p>
    <w:p>
      <w:pPr>
        <w:spacing w:line="600" w:lineRule="exact"/>
        <w:rPr>
          <w:rFonts w:ascii="宋体"/>
          <w:b/>
          <w:sz w:val="24"/>
        </w:rPr>
      </w:pPr>
      <w:r>
        <w:rPr>
          <w:rFonts w:hint="eastAsia" w:ascii="宋体" w:hAnsi="宋体"/>
          <w:b/>
          <w:sz w:val="24"/>
        </w:rPr>
        <w:t>注：招标人不建议投标人采用总价优惠或以总价百分比优惠的方式进行投标报价，其优惠须直接计算并体现在投标报价中。</w:t>
      </w:r>
    </w:p>
    <w:p>
      <w:pPr>
        <w:spacing w:line="600" w:lineRule="exact"/>
        <w:rPr>
          <w:rFonts w:ascii="宋体"/>
          <w:b/>
          <w:sz w:val="24"/>
        </w:rPr>
      </w:pPr>
    </w:p>
    <w:p>
      <w:pPr>
        <w:jc w:val="center"/>
        <w:rPr>
          <w:rFonts w:hint="eastAsia"/>
          <w:b/>
          <w:sz w:val="24"/>
          <w:lang w:eastAsia="zh-CN"/>
        </w:rPr>
      </w:pPr>
      <w:r>
        <w:rPr>
          <w:rFonts w:hint="eastAsia"/>
          <w:b/>
          <w:sz w:val="24"/>
          <w:lang w:eastAsia="zh-CN"/>
        </w:rPr>
        <w:t>三、分项报价表</w:t>
      </w:r>
    </w:p>
    <w:p>
      <w:pPr>
        <w:spacing w:line="600" w:lineRule="exact"/>
        <w:rPr>
          <w:rFonts w:ascii="宋体"/>
          <w:sz w:val="24"/>
        </w:rPr>
      </w:pPr>
    </w:p>
    <w:p>
      <w:pPr>
        <w:jc w:val="center"/>
        <w:rPr>
          <w:b/>
          <w:sz w:val="24"/>
        </w:rPr>
      </w:pPr>
      <w:r>
        <w:rPr>
          <w:rFonts w:hint="eastAsia"/>
          <w:b/>
          <w:sz w:val="24"/>
          <w:lang w:eastAsia="zh-CN"/>
        </w:rPr>
        <w:t>四</w:t>
      </w:r>
      <w:r>
        <w:rPr>
          <w:rFonts w:hint="eastAsia"/>
          <w:b/>
          <w:sz w:val="24"/>
        </w:rPr>
        <w:t>、规格响应表</w:t>
      </w:r>
    </w:p>
    <w:tbl>
      <w:tblPr>
        <w:tblStyle w:val="25"/>
        <w:tblpPr w:leftFromText="180" w:rightFromText="180" w:vertAnchor="text" w:horzAnchor="margin" w:tblpXSpec="center" w:tblpY="47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671"/>
        <w:gridCol w:w="342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70" w:type="dxa"/>
            <w:vAlign w:val="center"/>
          </w:tcPr>
          <w:p>
            <w:pPr>
              <w:spacing w:line="460" w:lineRule="exact"/>
              <w:ind w:right="-125"/>
              <w:jc w:val="center"/>
              <w:rPr>
                <w:rFonts w:ascii="宋体" w:hAnsi="宋体"/>
                <w:b/>
                <w:sz w:val="24"/>
              </w:rPr>
            </w:pPr>
            <w:r>
              <w:rPr>
                <w:rFonts w:hint="eastAsia" w:ascii="宋体" w:hAnsi="宋体"/>
                <w:b/>
                <w:sz w:val="24"/>
              </w:rPr>
              <w:t>序号</w:t>
            </w:r>
          </w:p>
        </w:tc>
        <w:tc>
          <w:tcPr>
            <w:tcW w:w="2671" w:type="dxa"/>
            <w:vAlign w:val="center"/>
          </w:tcPr>
          <w:p>
            <w:pPr>
              <w:spacing w:line="460" w:lineRule="exact"/>
              <w:ind w:right="-125"/>
              <w:jc w:val="center"/>
              <w:rPr>
                <w:rFonts w:ascii="宋体" w:hAnsi="宋体"/>
                <w:b/>
                <w:sz w:val="24"/>
              </w:rPr>
            </w:pPr>
            <w:r>
              <w:rPr>
                <w:rFonts w:hint="eastAsia" w:ascii="宋体" w:hAnsi="宋体"/>
                <w:b/>
                <w:sz w:val="24"/>
              </w:rPr>
              <w:t>设备名称</w:t>
            </w:r>
          </w:p>
        </w:tc>
        <w:tc>
          <w:tcPr>
            <w:tcW w:w="3423" w:type="dxa"/>
            <w:vAlign w:val="center"/>
          </w:tcPr>
          <w:p>
            <w:pPr>
              <w:spacing w:line="460" w:lineRule="exact"/>
              <w:ind w:right="-125"/>
              <w:jc w:val="center"/>
              <w:rPr>
                <w:rFonts w:ascii="宋体" w:hAnsi="宋体"/>
                <w:b/>
                <w:sz w:val="24"/>
              </w:rPr>
            </w:pPr>
            <w:r>
              <w:rPr>
                <w:rFonts w:hint="eastAsia" w:ascii="宋体" w:hAnsi="宋体"/>
                <w:b/>
                <w:sz w:val="24"/>
              </w:rPr>
              <w:t>推荐品牌</w:t>
            </w:r>
          </w:p>
        </w:tc>
        <w:tc>
          <w:tcPr>
            <w:tcW w:w="3014" w:type="dxa"/>
          </w:tcPr>
          <w:p>
            <w:pPr>
              <w:spacing w:line="460" w:lineRule="exact"/>
              <w:ind w:right="-125"/>
              <w:jc w:val="center"/>
              <w:rPr>
                <w:rFonts w:ascii="宋体" w:hAnsi="宋体"/>
                <w:b/>
                <w:sz w:val="24"/>
              </w:rPr>
            </w:pPr>
            <w:r>
              <w:rPr>
                <w:rFonts w:hint="eastAsia" w:ascii="宋体" w:hAnsi="宋体"/>
                <w:b/>
                <w:sz w:val="24"/>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1</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红外半球网络摄像机</w:t>
            </w:r>
          </w:p>
        </w:tc>
        <w:tc>
          <w:tcPr>
            <w:tcW w:w="3423" w:type="dxa"/>
            <w:vMerge w:val="restart"/>
            <w:vAlign w:val="center"/>
          </w:tcPr>
          <w:p>
            <w:pPr>
              <w:spacing w:line="500" w:lineRule="exact"/>
              <w:jc w:val="center"/>
              <w:rPr>
                <w:rFonts w:ascii="宋体" w:hAnsi="宋体"/>
                <w:sz w:val="24"/>
              </w:rPr>
            </w:pPr>
            <w:r>
              <w:rPr>
                <w:rFonts w:hint="eastAsia" w:ascii="宋体" w:hAnsi="宋体" w:cs="宋体"/>
                <w:kern w:val="0"/>
                <w:sz w:val="24"/>
              </w:rPr>
              <w:t>海康威视、大华、英飞拓</w:t>
            </w:r>
          </w:p>
        </w:tc>
        <w:tc>
          <w:tcPr>
            <w:tcW w:w="3014" w:type="dxa"/>
            <w:vMerge w:val="restart"/>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2</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红外枪型摄像机</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3</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无线网桥</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4</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6路解码器</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5</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拼接屏</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6</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拼接屏安装部件</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7</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NVR录像机</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8</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综合安防管理平台</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9</w:t>
            </w:r>
          </w:p>
        </w:tc>
        <w:tc>
          <w:tcPr>
            <w:tcW w:w="2671" w:type="dxa"/>
            <w:vAlign w:val="bottom"/>
          </w:tcPr>
          <w:p>
            <w:pPr>
              <w:spacing w:line="500" w:lineRule="exact"/>
              <w:jc w:val="center"/>
              <w:rPr>
                <w:rFonts w:ascii="宋体" w:hAnsi="宋体"/>
                <w:sz w:val="24"/>
              </w:rPr>
            </w:pPr>
            <w:r>
              <w:rPr>
                <w:rFonts w:hint="eastAsia" w:ascii="宋体" w:hAnsi="宋体" w:cs="宋体"/>
                <w:kern w:val="0"/>
                <w:sz w:val="24"/>
              </w:rPr>
              <w:t>控制键盘</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cs="宋体"/>
                <w:kern w:val="0"/>
                <w:sz w:val="24"/>
              </w:rPr>
            </w:pPr>
            <w:r>
              <w:rPr>
                <w:rFonts w:hint="eastAsia" w:ascii="宋体" w:hAnsi="宋体" w:cs="宋体"/>
                <w:kern w:val="0"/>
                <w:sz w:val="24"/>
              </w:rPr>
              <w:t>10</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8T监控级硬盘</w:t>
            </w:r>
          </w:p>
        </w:tc>
        <w:tc>
          <w:tcPr>
            <w:tcW w:w="3423" w:type="dxa"/>
            <w:vAlign w:val="center"/>
          </w:tcPr>
          <w:p>
            <w:pPr>
              <w:spacing w:line="500" w:lineRule="exact"/>
              <w:jc w:val="center"/>
              <w:rPr>
                <w:rFonts w:ascii="宋体" w:hAnsi="宋体" w:cs="宋体"/>
                <w:kern w:val="0"/>
                <w:sz w:val="24"/>
              </w:rPr>
            </w:pPr>
            <w:r>
              <w:rPr>
                <w:rFonts w:hint="eastAsia" w:ascii="宋体" w:hAnsi="宋体" w:cs="宋体"/>
                <w:kern w:val="0"/>
                <w:sz w:val="24"/>
              </w:rPr>
              <w:t>希捷、大华、海康威视</w:t>
            </w:r>
          </w:p>
        </w:tc>
        <w:tc>
          <w:tcPr>
            <w:tcW w:w="3014" w:type="dxa"/>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cs="宋体"/>
                <w:kern w:val="0"/>
                <w:sz w:val="24"/>
              </w:rPr>
            </w:pPr>
            <w:r>
              <w:rPr>
                <w:rFonts w:hint="eastAsia" w:ascii="宋体" w:hAnsi="宋体" w:cs="宋体"/>
                <w:kern w:val="0"/>
                <w:sz w:val="24"/>
              </w:rPr>
              <w:t>11</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管理电脑</w:t>
            </w:r>
          </w:p>
        </w:tc>
        <w:tc>
          <w:tcPr>
            <w:tcW w:w="3423" w:type="dxa"/>
            <w:vAlign w:val="center"/>
          </w:tcPr>
          <w:p>
            <w:pPr>
              <w:spacing w:line="500" w:lineRule="exact"/>
              <w:jc w:val="center"/>
              <w:rPr>
                <w:rFonts w:ascii="宋体" w:hAnsi="宋体" w:cs="宋体"/>
                <w:kern w:val="0"/>
                <w:sz w:val="24"/>
              </w:rPr>
            </w:pPr>
            <w:r>
              <w:rPr>
                <w:rFonts w:hint="eastAsia" w:ascii="宋体" w:hAnsi="宋体" w:cs="宋体"/>
                <w:kern w:val="0"/>
                <w:sz w:val="24"/>
              </w:rPr>
              <w:t>联想、戴尔、惠普</w:t>
            </w:r>
          </w:p>
        </w:tc>
        <w:tc>
          <w:tcPr>
            <w:tcW w:w="3014" w:type="dxa"/>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cs="宋体"/>
                <w:kern w:val="0"/>
                <w:sz w:val="24"/>
              </w:rPr>
            </w:pPr>
            <w:r>
              <w:rPr>
                <w:rFonts w:hint="eastAsia" w:ascii="宋体" w:hAnsi="宋体" w:cs="宋体"/>
                <w:kern w:val="0"/>
                <w:sz w:val="24"/>
              </w:rPr>
              <w:t>12</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核心交换机</w:t>
            </w:r>
          </w:p>
        </w:tc>
        <w:tc>
          <w:tcPr>
            <w:tcW w:w="3423" w:type="dxa"/>
            <w:vAlign w:val="center"/>
          </w:tcPr>
          <w:p>
            <w:pPr>
              <w:spacing w:line="500" w:lineRule="exact"/>
              <w:jc w:val="center"/>
              <w:rPr>
                <w:rFonts w:ascii="宋体" w:hAnsi="宋体" w:cs="宋体"/>
                <w:kern w:val="0"/>
                <w:sz w:val="24"/>
              </w:rPr>
            </w:pPr>
            <w:r>
              <w:rPr>
                <w:rFonts w:hint="eastAsia" w:ascii="宋体" w:hAnsi="宋体" w:cs="宋体"/>
                <w:kern w:val="0"/>
                <w:sz w:val="24"/>
              </w:rPr>
              <w:t>华为、锐捷、思科</w:t>
            </w:r>
          </w:p>
        </w:tc>
        <w:tc>
          <w:tcPr>
            <w:tcW w:w="3014" w:type="dxa"/>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13</w:t>
            </w:r>
          </w:p>
        </w:tc>
        <w:tc>
          <w:tcPr>
            <w:tcW w:w="2671" w:type="dxa"/>
            <w:vAlign w:val="bottom"/>
          </w:tcPr>
          <w:p>
            <w:pPr>
              <w:spacing w:line="500" w:lineRule="exact"/>
              <w:jc w:val="center"/>
              <w:rPr>
                <w:rFonts w:ascii="宋体" w:hAnsi="宋体"/>
                <w:sz w:val="24"/>
              </w:rPr>
            </w:pPr>
            <w:r>
              <w:rPr>
                <w:rFonts w:hint="eastAsia" w:ascii="宋体" w:hAnsi="宋体"/>
                <w:sz w:val="24"/>
              </w:rPr>
              <w:t>光纤模块</w:t>
            </w:r>
          </w:p>
        </w:tc>
        <w:tc>
          <w:tcPr>
            <w:tcW w:w="3423" w:type="dxa"/>
            <w:vAlign w:val="center"/>
          </w:tcPr>
          <w:p>
            <w:pPr>
              <w:spacing w:line="500" w:lineRule="exact"/>
              <w:jc w:val="center"/>
              <w:rPr>
                <w:rFonts w:ascii="宋体" w:hAnsi="宋体"/>
                <w:sz w:val="24"/>
              </w:rPr>
            </w:pPr>
            <w:r>
              <w:rPr>
                <w:rFonts w:hint="eastAsia" w:ascii="宋体" w:hAnsi="宋体"/>
                <w:sz w:val="24"/>
              </w:rPr>
              <w:t>华为、大华、海康威视</w:t>
            </w:r>
          </w:p>
        </w:tc>
        <w:tc>
          <w:tcPr>
            <w:tcW w:w="3014" w:type="dxa"/>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14</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光缆</w:t>
            </w:r>
          </w:p>
        </w:tc>
        <w:tc>
          <w:tcPr>
            <w:tcW w:w="3423" w:type="dxa"/>
            <w:vMerge w:val="restart"/>
            <w:vAlign w:val="center"/>
          </w:tcPr>
          <w:p>
            <w:pPr>
              <w:spacing w:line="500" w:lineRule="exact"/>
              <w:jc w:val="center"/>
              <w:rPr>
                <w:rFonts w:ascii="宋体" w:hAnsi="宋体"/>
                <w:sz w:val="24"/>
              </w:rPr>
            </w:pPr>
            <w:r>
              <w:rPr>
                <w:rFonts w:hint="eastAsia" w:ascii="宋体" w:hAnsi="宋体"/>
                <w:sz w:val="24"/>
              </w:rPr>
              <w:t>一舟、兰贝、爱谱华顿</w:t>
            </w:r>
          </w:p>
        </w:tc>
        <w:tc>
          <w:tcPr>
            <w:tcW w:w="3014" w:type="dxa"/>
            <w:vMerge w:val="restart"/>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15</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光纤跳线</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16</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楼层机柜</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sz w:val="24"/>
              </w:rPr>
            </w:pPr>
            <w:r>
              <w:rPr>
                <w:rFonts w:hint="eastAsia" w:ascii="宋体" w:hAnsi="宋体"/>
                <w:sz w:val="24"/>
              </w:rPr>
              <w:t>17</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网线</w:t>
            </w:r>
          </w:p>
        </w:tc>
        <w:tc>
          <w:tcPr>
            <w:tcW w:w="3423" w:type="dxa"/>
            <w:vMerge w:val="continue"/>
            <w:vAlign w:val="center"/>
          </w:tcPr>
          <w:p>
            <w:pPr>
              <w:spacing w:line="500" w:lineRule="exact"/>
              <w:jc w:val="center"/>
              <w:rPr>
                <w:rFonts w:ascii="宋体" w:hAnsi="宋体"/>
                <w:sz w:val="24"/>
              </w:rPr>
            </w:pPr>
          </w:p>
        </w:tc>
        <w:tc>
          <w:tcPr>
            <w:tcW w:w="3014" w:type="dxa"/>
            <w:vMerge w:val="continue"/>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cs="宋体"/>
                <w:kern w:val="0"/>
                <w:sz w:val="24"/>
              </w:rPr>
            </w:pPr>
            <w:r>
              <w:rPr>
                <w:rFonts w:hint="eastAsia" w:ascii="宋体" w:hAnsi="宋体" w:cs="宋体"/>
                <w:kern w:val="0"/>
                <w:sz w:val="24"/>
              </w:rPr>
              <w:t>18</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PVC阻燃管</w:t>
            </w:r>
          </w:p>
        </w:tc>
        <w:tc>
          <w:tcPr>
            <w:tcW w:w="3423" w:type="dxa"/>
            <w:vAlign w:val="center"/>
          </w:tcPr>
          <w:p>
            <w:pPr>
              <w:spacing w:line="500" w:lineRule="exact"/>
              <w:jc w:val="center"/>
              <w:rPr>
                <w:rFonts w:ascii="宋体" w:hAnsi="宋体" w:cs="宋体"/>
                <w:kern w:val="0"/>
                <w:sz w:val="24"/>
              </w:rPr>
            </w:pPr>
            <w:r>
              <w:rPr>
                <w:rFonts w:hint="eastAsia" w:ascii="宋体" w:hAnsi="宋体" w:cs="宋体"/>
                <w:kern w:val="0"/>
                <w:sz w:val="24"/>
              </w:rPr>
              <w:t>鸿雁、日丰、伟星</w:t>
            </w:r>
          </w:p>
        </w:tc>
        <w:tc>
          <w:tcPr>
            <w:tcW w:w="3014" w:type="dxa"/>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70" w:type="dxa"/>
            <w:vAlign w:val="bottom"/>
          </w:tcPr>
          <w:p>
            <w:pPr>
              <w:spacing w:line="500" w:lineRule="exact"/>
              <w:jc w:val="center"/>
              <w:rPr>
                <w:rFonts w:ascii="宋体" w:hAnsi="宋体" w:cs="宋体"/>
                <w:kern w:val="0"/>
                <w:sz w:val="24"/>
              </w:rPr>
            </w:pPr>
            <w:r>
              <w:rPr>
                <w:rFonts w:hint="eastAsia" w:ascii="宋体" w:hAnsi="宋体" w:cs="宋体"/>
                <w:kern w:val="0"/>
                <w:sz w:val="24"/>
              </w:rPr>
              <w:t>19</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视频高清线</w:t>
            </w:r>
          </w:p>
        </w:tc>
        <w:tc>
          <w:tcPr>
            <w:tcW w:w="3423" w:type="dxa"/>
            <w:vAlign w:val="center"/>
          </w:tcPr>
          <w:p>
            <w:pPr>
              <w:spacing w:line="500" w:lineRule="exact"/>
              <w:jc w:val="center"/>
              <w:rPr>
                <w:rFonts w:ascii="宋体" w:hAnsi="宋体" w:cs="宋体"/>
                <w:kern w:val="0"/>
                <w:sz w:val="24"/>
              </w:rPr>
            </w:pPr>
            <w:r>
              <w:rPr>
                <w:rFonts w:hint="eastAsia" w:ascii="宋体" w:hAnsi="宋体" w:cs="宋体"/>
                <w:kern w:val="0"/>
                <w:sz w:val="24"/>
              </w:rPr>
              <w:t>秋叶原、飞利浦、绿联</w:t>
            </w:r>
          </w:p>
        </w:tc>
        <w:tc>
          <w:tcPr>
            <w:tcW w:w="3014" w:type="dxa"/>
            <w:vAlign w:val="center"/>
          </w:tcPr>
          <w:p>
            <w:pPr>
              <w:spacing w:line="460" w:lineRule="exact"/>
              <w:ind w:right="-125"/>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70" w:type="dxa"/>
            <w:vAlign w:val="bottom"/>
          </w:tcPr>
          <w:p>
            <w:pPr>
              <w:spacing w:line="500" w:lineRule="exact"/>
              <w:jc w:val="center"/>
              <w:rPr>
                <w:rFonts w:ascii="宋体" w:hAnsi="宋体" w:cs="宋体"/>
                <w:kern w:val="0"/>
                <w:sz w:val="24"/>
              </w:rPr>
            </w:pPr>
            <w:r>
              <w:rPr>
                <w:rFonts w:hint="eastAsia" w:ascii="宋体" w:hAnsi="宋体" w:cs="宋体"/>
                <w:kern w:val="0"/>
                <w:sz w:val="24"/>
              </w:rPr>
              <w:t>20</w:t>
            </w:r>
          </w:p>
        </w:tc>
        <w:tc>
          <w:tcPr>
            <w:tcW w:w="2671" w:type="dxa"/>
            <w:vAlign w:val="bottom"/>
          </w:tcPr>
          <w:p>
            <w:pPr>
              <w:spacing w:line="500" w:lineRule="exact"/>
              <w:jc w:val="center"/>
              <w:rPr>
                <w:rFonts w:ascii="宋体" w:hAnsi="宋体" w:cs="宋体"/>
                <w:kern w:val="0"/>
                <w:sz w:val="24"/>
              </w:rPr>
            </w:pPr>
            <w:r>
              <w:rPr>
                <w:rFonts w:hint="eastAsia" w:ascii="宋体" w:hAnsi="宋体" w:cs="宋体"/>
                <w:kern w:val="0"/>
                <w:sz w:val="24"/>
              </w:rPr>
              <w:t>无缝静电地板</w:t>
            </w:r>
          </w:p>
        </w:tc>
        <w:tc>
          <w:tcPr>
            <w:tcW w:w="3423" w:type="dxa"/>
            <w:vAlign w:val="center"/>
          </w:tcPr>
          <w:p>
            <w:pPr>
              <w:spacing w:line="500" w:lineRule="exact"/>
              <w:jc w:val="center"/>
              <w:rPr>
                <w:rFonts w:ascii="宋体" w:hAnsi="宋体" w:cs="宋体"/>
                <w:kern w:val="0"/>
                <w:sz w:val="24"/>
              </w:rPr>
            </w:pPr>
            <w:r>
              <w:rPr>
                <w:rFonts w:hint="eastAsia" w:ascii="宋体" w:hAnsi="宋体" w:cs="宋体"/>
                <w:kern w:val="0"/>
                <w:sz w:val="24"/>
              </w:rPr>
              <w:t>恒欣、汇迈、迪露</w:t>
            </w:r>
          </w:p>
        </w:tc>
        <w:tc>
          <w:tcPr>
            <w:tcW w:w="3014" w:type="dxa"/>
            <w:vAlign w:val="center"/>
          </w:tcPr>
          <w:p>
            <w:pPr>
              <w:spacing w:line="460" w:lineRule="exact"/>
              <w:ind w:right="-125"/>
              <w:jc w:val="center"/>
              <w:rPr>
                <w:rFonts w:ascii="宋体" w:hAnsi="宋体"/>
                <w:sz w:val="24"/>
              </w:rPr>
            </w:pPr>
          </w:p>
        </w:tc>
      </w:tr>
    </w:tbl>
    <w:p>
      <w:pPr>
        <w:jc w:val="center"/>
        <w:rPr>
          <w:b/>
          <w:sz w:val="28"/>
          <w:szCs w:val="28"/>
        </w:rPr>
      </w:pPr>
    </w:p>
    <w:p>
      <w:pPr>
        <w:jc w:val="center"/>
        <w:rPr>
          <w:b/>
          <w:sz w:val="24"/>
        </w:rPr>
      </w:pPr>
      <w:r>
        <w:rPr>
          <w:rFonts w:hint="eastAsia"/>
          <w:b/>
          <w:sz w:val="24"/>
        </w:rPr>
        <w:t>四、投标承诺事项</w:t>
      </w:r>
    </w:p>
    <w:p>
      <w:pPr>
        <w:widowControl/>
        <w:spacing w:line="460" w:lineRule="exact"/>
        <w:ind w:firstLine="354" w:firstLineChars="147"/>
        <w:jc w:val="left"/>
        <w:rPr>
          <w:rFonts w:ascii="宋体" w:cs="宋体"/>
          <w:b/>
          <w:kern w:val="0"/>
          <w:sz w:val="24"/>
        </w:rPr>
      </w:pPr>
      <w:r>
        <w:rPr>
          <w:rFonts w:hint="eastAsia" w:ascii="宋体" w:hAnsi="宋体" w:cs="宋体"/>
          <w:b/>
          <w:kern w:val="0"/>
          <w:sz w:val="24"/>
        </w:rPr>
        <w:t>内容包括如下：</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1．对工期的承诺；</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2．对工程质量、安全施工及保修服务的承诺；</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3．投标人的其他承诺</w:t>
      </w:r>
    </w:p>
    <w:p>
      <w:pPr>
        <w:jc w:val="center"/>
        <w:rPr>
          <w:rFonts w:ascii="宋体"/>
          <w:sz w:val="28"/>
          <w:szCs w:val="28"/>
        </w:rPr>
      </w:pPr>
    </w:p>
    <w:p>
      <w:pPr>
        <w:numPr>
          <w:ilvl w:val="0"/>
          <w:numId w:val="4"/>
        </w:numPr>
        <w:jc w:val="center"/>
        <w:rPr>
          <w:rFonts w:ascii="宋体" w:hAnsi="宋体"/>
          <w:b/>
          <w:sz w:val="24"/>
        </w:rPr>
      </w:pPr>
      <w:r>
        <w:rPr>
          <w:rFonts w:hint="eastAsia" w:ascii="宋体" w:hAnsi="宋体"/>
          <w:b/>
          <w:sz w:val="24"/>
        </w:rPr>
        <w:t>投标人资格证明文件</w:t>
      </w:r>
    </w:p>
    <w:p>
      <w:pPr>
        <w:rPr>
          <w:rFonts w:ascii="宋体" w:hAnsi="宋体"/>
          <w:b/>
          <w:sz w:val="24"/>
        </w:rPr>
      </w:pPr>
    </w:p>
    <w:p>
      <w:pPr>
        <w:widowControl/>
        <w:spacing w:line="400" w:lineRule="exact"/>
        <w:ind w:firstLine="361" w:firstLineChars="150"/>
        <w:jc w:val="left"/>
        <w:rPr>
          <w:rFonts w:asci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基本情况说明</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p>
    <w:p>
      <w:pPr>
        <w:widowControl/>
        <w:spacing w:line="400" w:lineRule="exact"/>
        <w:ind w:firstLine="360" w:firstLineChars="150"/>
        <w:jc w:val="left"/>
        <w:rPr>
          <w:rFonts w:ascii="宋体" w:cs="宋体"/>
          <w:kern w:val="0"/>
          <w:sz w:val="24"/>
        </w:rPr>
      </w:pPr>
      <w:r>
        <w:rPr>
          <w:rFonts w:hint="eastAsia" w:ascii="宋体" w:hAnsi="宋体" w:cs="宋体"/>
          <w:kern w:val="0"/>
          <w:sz w:val="24"/>
        </w:rPr>
        <w:t>⑵开户银行名称及地址</w:t>
      </w:r>
    </w:p>
    <w:p>
      <w:pPr>
        <w:autoSpaceDE w:val="0"/>
        <w:autoSpaceDN w:val="0"/>
        <w:adjustRightInd w:val="0"/>
        <w:spacing w:line="400" w:lineRule="exact"/>
        <w:ind w:firstLine="360" w:firstLineChars="150"/>
        <w:rPr>
          <w:rFonts w:ascii="宋体" w:cs="宋体"/>
          <w:kern w:val="0"/>
          <w:sz w:val="24"/>
        </w:rPr>
      </w:pPr>
      <w:r>
        <w:rPr>
          <w:rFonts w:hint="eastAsia" w:ascii="宋体" w:hAnsi="宋体" w:cs="宋体"/>
          <w:kern w:val="0"/>
          <w:sz w:val="24"/>
        </w:rPr>
        <w:t>⑶投标人需要说明的其它情况</w:t>
      </w:r>
    </w:p>
    <w:p>
      <w:pPr>
        <w:autoSpaceDE w:val="0"/>
        <w:autoSpaceDN w:val="0"/>
        <w:adjustRightInd w:val="0"/>
        <w:spacing w:line="400" w:lineRule="exact"/>
        <w:ind w:firstLine="360" w:firstLineChars="150"/>
        <w:rPr>
          <w:rFonts w:ascii="宋体" w:cs="宋体"/>
          <w:kern w:val="0"/>
          <w:sz w:val="24"/>
        </w:rPr>
      </w:pPr>
    </w:p>
    <w:p>
      <w:pPr>
        <w:autoSpaceDE w:val="0"/>
        <w:autoSpaceDN w:val="0"/>
        <w:adjustRightInd w:val="0"/>
        <w:spacing w:line="400" w:lineRule="exact"/>
        <w:ind w:firstLine="360" w:firstLineChars="150"/>
        <w:rPr>
          <w:rFonts w:ascii="宋体" w:cs="宋体"/>
          <w:kern w:val="0"/>
          <w:sz w:val="24"/>
        </w:rPr>
      </w:pPr>
    </w:p>
    <w:p>
      <w:pPr>
        <w:jc w:val="center"/>
        <w:rPr>
          <w:rFonts w:ascii="宋体"/>
          <w:b/>
          <w:sz w:val="24"/>
        </w:rPr>
      </w:pPr>
      <w:r>
        <w:rPr>
          <w:rFonts w:hint="eastAsia" w:ascii="宋体" w:hAnsi="宋体"/>
          <w:b/>
          <w:sz w:val="24"/>
        </w:rPr>
        <w:t>六、投标保证金退还申请书</w:t>
      </w:r>
    </w:p>
    <w:p>
      <w:pPr>
        <w:spacing w:beforeLines="150" w:afterLines="100"/>
        <w:rPr>
          <w:rFonts w:ascii="宋体" w:hAnsi="宋体" w:cs="宋体"/>
          <w:kern w:val="0"/>
          <w:sz w:val="24"/>
          <w:lang w:val="zh-CN"/>
        </w:rPr>
      </w:pPr>
      <w:r>
        <w:rPr>
          <w:rFonts w:hint="eastAsia" w:ascii="宋体" w:hAnsi="宋体" w:cs="宋体"/>
          <w:kern w:val="0"/>
          <w:sz w:val="24"/>
          <w:lang w:val="zh-CN"/>
        </w:rPr>
        <w:t>合肥百货大楼集团蚌埠百大购物中心有限责任公司宝龙店：</w:t>
      </w:r>
    </w:p>
    <w:p>
      <w:pPr>
        <w:spacing w:beforeLines="150" w:afterLines="100"/>
        <w:ind w:firstLine="420"/>
        <w:rPr>
          <w:rFonts w:ascii="宋体" w:cs="宋体"/>
          <w:sz w:val="24"/>
        </w:rPr>
      </w:pPr>
      <w:r>
        <w:rPr>
          <w:rFonts w:hint="eastAsia" w:ascii="宋体" w:hAnsi="宋体" w:cs="宋体"/>
          <w:sz w:val="24"/>
        </w:rPr>
        <w:t>我公司于</w:t>
      </w:r>
      <w:r>
        <w:rPr>
          <w:rFonts w:ascii="宋体" w:hAnsi="宋体" w:cs="宋体"/>
          <w:sz w:val="24"/>
          <w:u w:val="single"/>
        </w:rPr>
        <w:t xml:space="preserve">201  </w:t>
      </w:r>
      <w:r>
        <w:rPr>
          <w:rFonts w:hint="eastAsia" w:ascii="宋体" w:hAnsi="宋体" w:cs="宋体"/>
          <w:sz w:val="24"/>
          <w:u w:val="single"/>
        </w:rPr>
        <w:t>年</w:t>
      </w:r>
      <w:r>
        <w:rPr>
          <w:rFonts w:ascii="宋体" w:hAnsi="宋体" w:cs="宋体"/>
          <w:sz w:val="24"/>
          <w:u w:val="single"/>
        </w:rPr>
        <w:t xml:space="preserve">  </w:t>
      </w:r>
      <w:r>
        <w:rPr>
          <w:rFonts w:hint="eastAsia" w:ascii="宋体" w:hAnsi="宋体" w:cs="宋体"/>
          <w:sz w:val="24"/>
          <w:u w:val="single"/>
        </w:rPr>
        <w:t>月</w:t>
      </w:r>
      <w:r>
        <w:rPr>
          <w:rFonts w:ascii="宋体" w:hAnsi="宋体" w:cs="宋体"/>
          <w:sz w:val="24"/>
          <w:u w:val="single"/>
        </w:rPr>
        <w:t xml:space="preserve">  </w:t>
      </w:r>
      <w:r>
        <w:rPr>
          <w:rFonts w:hint="eastAsia" w:ascii="宋体" w:hAnsi="宋体" w:cs="宋体"/>
          <w:sz w:val="24"/>
          <w:u w:val="single"/>
        </w:rPr>
        <w:t>日</w:t>
      </w:r>
      <w:r>
        <w:rPr>
          <w:rFonts w:hint="eastAsia" w:ascii="宋体" w:hAnsi="宋体" w:cs="宋体"/>
          <w:sz w:val="24"/>
        </w:rPr>
        <w:t>参加</w:t>
      </w:r>
      <w:r>
        <w:rPr>
          <w:rFonts w:hint="eastAsia" w:ascii="宋体" w:hAnsi="宋体" w:cs="宋体"/>
          <w:sz w:val="24"/>
          <w:u w:val="single"/>
        </w:rPr>
        <w:t xml:space="preserve">             </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cs="宋体"/>
          <w:sz w:val="24"/>
        </w:rPr>
      </w:pPr>
      <w:r>
        <w:rPr>
          <w:rFonts w:hint="eastAsia" w:ascii="宋体" w:hAnsi="宋体" w:cs="宋体"/>
          <w:sz w:val="24"/>
        </w:rPr>
        <w:t>请予办理。</w:t>
      </w:r>
    </w:p>
    <w:p>
      <w:pPr>
        <w:ind w:firstLine="460" w:firstLineChars="192"/>
        <w:rPr>
          <w:rFonts w:ascii="宋体" w:cs="宋体"/>
          <w:sz w:val="24"/>
        </w:rPr>
      </w:pPr>
    </w:p>
    <w:p>
      <w:pPr>
        <w:ind w:firstLine="460" w:firstLineChars="192"/>
        <w:rPr>
          <w:rFonts w:ascii="宋体" w:cs="宋体"/>
          <w:sz w:val="24"/>
        </w:rPr>
      </w:pPr>
      <w:r>
        <w:rPr>
          <w:rFonts w:hint="eastAsia" w:ascii="宋体" w:hAnsi="宋体" w:cs="宋体"/>
          <w:sz w:val="24"/>
        </w:rPr>
        <w:t>户</w:t>
      </w:r>
      <w:r>
        <w:rPr>
          <w:rFonts w:ascii="宋体" w:hAnsi="宋体" w:cs="宋体"/>
          <w:sz w:val="24"/>
        </w:rPr>
        <w:t xml:space="preserve">    </w:t>
      </w:r>
      <w:r>
        <w:rPr>
          <w:rFonts w:hint="eastAsia" w:ascii="宋体" w:hAnsi="宋体" w:cs="宋体"/>
          <w:sz w:val="24"/>
        </w:rPr>
        <w:t>名：</w:t>
      </w:r>
    </w:p>
    <w:p>
      <w:pPr>
        <w:ind w:firstLine="460" w:firstLineChars="192"/>
        <w:rPr>
          <w:rFonts w:ascii="宋体" w:cs="宋体"/>
          <w:sz w:val="24"/>
        </w:rPr>
      </w:pPr>
      <w:r>
        <w:rPr>
          <w:rFonts w:hint="eastAsia" w:ascii="宋体" w:hAnsi="宋体" w:cs="宋体"/>
          <w:sz w:val="24"/>
        </w:rPr>
        <w:t>开户银行：</w:t>
      </w:r>
    </w:p>
    <w:p>
      <w:pPr>
        <w:ind w:firstLine="460" w:firstLineChars="192"/>
        <w:rPr>
          <w:rFonts w:ascii="宋体" w:cs="宋体"/>
          <w:sz w:val="24"/>
        </w:rPr>
      </w:pPr>
      <w:r>
        <w:rPr>
          <w:rFonts w:hint="eastAsia" w:ascii="宋体" w:hAnsi="宋体" w:cs="宋体"/>
          <w:sz w:val="24"/>
        </w:rPr>
        <w:t>帐</w:t>
      </w:r>
      <w:r>
        <w:rPr>
          <w:rFonts w:ascii="宋体" w:hAnsi="宋体" w:cs="宋体"/>
          <w:sz w:val="24"/>
        </w:rPr>
        <w:t xml:space="preserve">    </w:t>
      </w:r>
      <w:r>
        <w:rPr>
          <w:rFonts w:hint="eastAsia" w:ascii="宋体" w:hAnsi="宋体" w:cs="宋体"/>
          <w:sz w:val="24"/>
        </w:rPr>
        <w:t>号：</w:t>
      </w:r>
    </w:p>
    <w:p>
      <w:pPr>
        <w:ind w:firstLine="460" w:firstLineChars="192"/>
        <w:rPr>
          <w:rFonts w:ascii="宋体" w:cs="宋体"/>
          <w:sz w:val="24"/>
        </w:rPr>
      </w:pPr>
      <w:r>
        <w:rPr>
          <w:rFonts w:hint="eastAsia" w:ascii="宋体" w:hAnsi="宋体" w:cs="宋体"/>
          <w:sz w:val="24"/>
        </w:rPr>
        <w:t>联系电话：</w:t>
      </w:r>
    </w:p>
    <w:tbl>
      <w:tblPr>
        <w:tblStyle w:val="25"/>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854" w:type="dxa"/>
          </w:tcPr>
          <w:p>
            <w:pPr>
              <w:rPr>
                <w:rFonts w:ascii="宋体" w:cs="宋体"/>
                <w:sz w:val="24"/>
              </w:rPr>
            </w:pPr>
          </w:p>
          <w:p>
            <w:pPr>
              <w:jc w:val="center"/>
              <w:rPr>
                <w:rFonts w:ascii="宋体" w:cs="宋体"/>
                <w:sz w:val="24"/>
              </w:rPr>
            </w:pPr>
            <w:r>
              <w:rPr>
                <w:rFonts w:hint="eastAsia" w:ascii="宋体" w:hAnsi="宋体" w:cs="宋体"/>
                <w:sz w:val="24"/>
              </w:rPr>
              <w:t>此处提供转账单复印件</w:t>
            </w:r>
          </w:p>
          <w:p>
            <w:pPr>
              <w:rPr>
                <w:rFonts w:ascii="宋体" w:cs="宋体"/>
                <w:sz w:val="24"/>
              </w:rPr>
            </w:pPr>
          </w:p>
        </w:tc>
      </w:tr>
    </w:tbl>
    <w:p>
      <w:pPr>
        <w:rPr>
          <w:rFonts w:ascii="宋体" w:cs="宋体"/>
          <w:sz w:val="24"/>
        </w:rPr>
      </w:pPr>
    </w:p>
    <w:p>
      <w:pPr>
        <w:rPr>
          <w:rFonts w:ascii="宋体" w:cs="宋体"/>
          <w:sz w:val="24"/>
        </w:rPr>
      </w:pPr>
    </w:p>
    <w:p>
      <w:pPr>
        <w:ind w:firstLine="5673" w:firstLineChars="2364"/>
        <w:rPr>
          <w:rFonts w:ascii="宋体" w:cs="宋体"/>
          <w:sz w:val="24"/>
        </w:rPr>
      </w:pPr>
      <w:r>
        <w:rPr>
          <w:rFonts w:hint="eastAsia" w:ascii="宋体" w:hAnsi="宋体" w:cs="宋体"/>
          <w:sz w:val="24"/>
        </w:rPr>
        <w:t>投标人：</w:t>
      </w:r>
    </w:p>
    <w:p>
      <w:pPr>
        <w:ind w:firstLine="7680" w:firstLineChars="3200"/>
        <w:rPr>
          <w:rFonts w:ascii="宋体" w:cs="宋体"/>
          <w:sz w:val="24"/>
        </w:rPr>
      </w:pP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DotumChe">
    <w:panose1 w:val="020B0609000101010101"/>
    <w:charset w:val="81"/>
    <w:family w:val="modern"/>
    <w:pitch w:val="default"/>
    <w:sig w:usb0="B00002AF" w:usb1="69D77CFB" w:usb2="00000030" w:usb3="00000000" w:csb0="4008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lang w:val="zh-CN"/>
      </w:rPr>
      <w:t xml:space="preserve"> </w:t>
    </w:r>
    <w:r>
      <w:rPr>
        <w:b/>
      </w:rPr>
      <w:fldChar w:fldCharType="begin"/>
    </w:r>
    <w:r>
      <w:rPr>
        <w:b/>
      </w:rPr>
      <w:instrText xml:space="preserve">PAGE</w:instrText>
    </w:r>
    <w:r>
      <w:rPr>
        <w:b/>
      </w:rPr>
      <w:fldChar w:fldCharType="separate"/>
    </w:r>
    <w:r>
      <w:rPr>
        <w:b/>
      </w:rPr>
      <w:t>31</w:t>
    </w:r>
    <w:r>
      <w:rPr>
        <w:b/>
      </w:rPr>
      <w:fldChar w:fldCharType="end"/>
    </w:r>
    <w:r>
      <w:rPr>
        <w:lang w:val="zh-CN"/>
      </w:rPr>
      <w:t xml:space="preserve"> / </w:t>
    </w:r>
    <w:r>
      <w:rPr>
        <w:b/>
      </w:rPr>
      <w:fldChar w:fldCharType="begin"/>
    </w:r>
    <w:r>
      <w:rPr>
        <w:b/>
      </w:rPr>
      <w:instrText xml:space="preserve">NUMPAGES</w:instrText>
    </w:r>
    <w:r>
      <w:rPr>
        <w:b/>
      </w:rPr>
      <w:fldChar w:fldCharType="separate"/>
    </w:r>
    <w:r>
      <w:rPr>
        <w:b/>
      </w:rPr>
      <w:t>34</w:t>
    </w:r>
    <w:r>
      <w:rPr>
        <w:b/>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7DF67C"/>
    <w:multiLevelType w:val="singleLevel"/>
    <w:tmpl w:val="E77DF67C"/>
    <w:lvl w:ilvl="0" w:tentative="0">
      <w:start w:val="2"/>
      <w:numFmt w:val="decimal"/>
      <w:suff w:val="nothing"/>
      <w:lvlText w:val="%1、"/>
      <w:lvlJc w:val="left"/>
    </w:lvl>
  </w:abstractNum>
  <w:abstractNum w:abstractNumId="1">
    <w:nsid w:val="F05B5E33"/>
    <w:multiLevelType w:val="singleLevel"/>
    <w:tmpl w:val="F05B5E33"/>
    <w:lvl w:ilvl="0" w:tentative="0">
      <w:start w:val="5"/>
      <w:numFmt w:val="chineseCounting"/>
      <w:suff w:val="nothing"/>
      <w:lvlText w:val="%1、"/>
      <w:lvlJc w:val="left"/>
      <w:rPr>
        <w:rFonts w:hint="eastAsia"/>
      </w:rPr>
    </w:lvl>
  </w:abstractNum>
  <w:abstractNum w:abstractNumId="2">
    <w:nsid w:val="44E077FB"/>
    <w:multiLevelType w:val="multilevel"/>
    <w:tmpl w:val="44E077FB"/>
    <w:lvl w:ilvl="0" w:tentative="0">
      <w:start w:val="1"/>
      <w:numFmt w:val="decimal"/>
      <w:pStyle w:val="2"/>
      <w:suff w:val="nothing"/>
      <w:lvlText w:val="%1、"/>
      <w:lvlJc w:val="left"/>
      <w:pPr>
        <w:ind w:left="432" w:hanging="432"/>
      </w:pPr>
      <w:rPr>
        <w:rFonts w:hint="eastAsia" w:cs="Times New Roman"/>
      </w:rPr>
    </w:lvl>
    <w:lvl w:ilvl="1" w:tentative="0">
      <w:start w:val="1"/>
      <w:numFmt w:val="decimal"/>
      <w:pStyle w:val="3"/>
      <w:suff w:val="nothing"/>
      <w:lvlText w:val="%1.%2、"/>
      <w:lvlJc w:val="left"/>
      <w:pPr>
        <w:ind w:left="718" w:hanging="576"/>
      </w:pPr>
      <w:rPr>
        <w:rFonts w:hint="eastAsia" w:cs="Times New Roman"/>
      </w:rPr>
    </w:lvl>
    <w:lvl w:ilvl="2" w:tentative="0">
      <w:start w:val="1"/>
      <w:numFmt w:val="decimal"/>
      <w:lvlText w:val="(%3)"/>
      <w:lvlJc w:val="left"/>
      <w:pPr>
        <w:ind w:left="720" w:hanging="720"/>
      </w:pPr>
      <w:rPr>
        <w:rFonts w:hint="default" w:cs="Times New Roman"/>
      </w:rPr>
    </w:lvl>
    <w:lvl w:ilvl="3" w:tentative="0">
      <w:start w:val="1"/>
      <w:numFmt w:val="decimal"/>
      <w:lvlText w:val="%1.%2.%3.%4"/>
      <w:lvlJc w:val="left"/>
      <w:pPr>
        <w:ind w:left="1432" w:hanging="864"/>
      </w:pPr>
      <w:rPr>
        <w:rFonts w:hint="eastAsia" w:cs="Times New Roman"/>
      </w:rPr>
    </w:lvl>
    <w:lvl w:ilvl="4" w:tentative="0">
      <w:start w:val="1"/>
      <w:numFmt w:val="decimal"/>
      <w:pStyle w:val="6"/>
      <w:lvlText w:val="%1.%2.%3.%4.%5"/>
      <w:lvlJc w:val="left"/>
      <w:pPr>
        <w:ind w:left="1008" w:hanging="1008"/>
      </w:pPr>
      <w:rPr>
        <w:rFonts w:hint="eastAsia" w:cs="Times New Roman"/>
      </w:rPr>
    </w:lvl>
    <w:lvl w:ilvl="5" w:tentative="0">
      <w:start w:val="1"/>
      <w:numFmt w:val="decimal"/>
      <w:lvlText w:val="%1.%2.%3.%4.%5.%6"/>
      <w:lvlJc w:val="left"/>
      <w:pPr>
        <w:ind w:left="1152" w:hanging="1152"/>
      </w:pPr>
      <w:rPr>
        <w:rFonts w:hint="eastAsia" w:cs="Times New Roman"/>
      </w:rPr>
    </w:lvl>
    <w:lvl w:ilvl="6" w:tentative="0">
      <w:start w:val="1"/>
      <w:numFmt w:val="decimal"/>
      <w:lvlText w:val="%1.%2.%3.%4.%5.%6.%7"/>
      <w:lvlJc w:val="left"/>
      <w:pPr>
        <w:ind w:left="1296" w:hanging="1296"/>
      </w:pPr>
      <w:rPr>
        <w:rFonts w:hint="eastAsia" w:cs="Times New Roman"/>
      </w:rPr>
    </w:lvl>
    <w:lvl w:ilvl="7" w:tentative="0">
      <w:start w:val="1"/>
      <w:numFmt w:val="decimal"/>
      <w:lvlText w:val="%1.%2.%3.%4.%5.%6.%7.%8"/>
      <w:lvlJc w:val="left"/>
      <w:pPr>
        <w:ind w:left="1440" w:hanging="1440"/>
      </w:pPr>
      <w:rPr>
        <w:rFonts w:hint="eastAsia" w:cs="Times New Roman"/>
      </w:rPr>
    </w:lvl>
    <w:lvl w:ilvl="8" w:tentative="0">
      <w:start w:val="1"/>
      <w:numFmt w:val="decimal"/>
      <w:lvlText w:val="%1.%2.%3.%4.%5.%6.%7.%8.%9"/>
      <w:lvlJc w:val="left"/>
      <w:pPr>
        <w:ind w:left="1584" w:hanging="1584"/>
      </w:pPr>
      <w:rPr>
        <w:rFonts w:hint="eastAsia" w:cs="Times New Roman"/>
      </w:rPr>
    </w:lvl>
  </w:abstractNum>
  <w:abstractNum w:abstractNumId="3">
    <w:nsid w:val="45D717F6"/>
    <w:multiLevelType w:val="multilevel"/>
    <w:tmpl w:val="45D717F6"/>
    <w:lvl w:ilvl="0" w:tentative="0">
      <w:start w:val="6"/>
      <w:numFmt w:val="japaneseCounting"/>
      <w:lvlText w:val="第%1条"/>
      <w:lvlJc w:val="left"/>
      <w:pPr>
        <w:tabs>
          <w:tab w:val="left" w:pos="1125"/>
        </w:tabs>
        <w:ind w:left="1125" w:hanging="1125"/>
      </w:pPr>
      <w:rPr>
        <w:rFonts w:hint="eastAsia"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69"/>
    <w:rsid w:val="000042E0"/>
    <w:rsid w:val="000044D8"/>
    <w:rsid w:val="00005997"/>
    <w:rsid w:val="00006C6E"/>
    <w:rsid w:val="00007BBA"/>
    <w:rsid w:val="00010828"/>
    <w:rsid w:val="00013014"/>
    <w:rsid w:val="000131F7"/>
    <w:rsid w:val="00015031"/>
    <w:rsid w:val="0001677F"/>
    <w:rsid w:val="0002026C"/>
    <w:rsid w:val="000202E0"/>
    <w:rsid w:val="000319AF"/>
    <w:rsid w:val="00032554"/>
    <w:rsid w:val="00034475"/>
    <w:rsid w:val="00036347"/>
    <w:rsid w:val="00042824"/>
    <w:rsid w:val="0004282C"/>
    <w:rsid w:val="0004327D"/>
    <w:rsid w:val="0004337A"/>
    <w:rsid w:val="000475D7"/>
    <w:rsid w:val="00047AF0"/>
    <w:rsid w:val="00051F89"/>
    <w:rsid w:val="00052D08"/>
    <w:rsid w:val="00056300"/>
    <w:rsid w:val="00056E4E"/>
    <w:rsid w:val="000574D5"/>
    <w:rsid w:val="00062B70"/>
    <w:rsid w:val="00070C4E"/>
    <w:rsid w:val="00074B2A"/>
    <w:rsid w:val="00075DD8"/>
    <w:rsid w:val="0007766A"/>
    <w:rsid w:val="00080DF5"/>
    <w:rsid w:val="00081654"/>
    <w:rsid w:val="000817EF"/>
    <w:rsid w:val="00081BFB"/>
    <w:rsid w:val="00082A8D"/>
    <w:rsid w:val="00083A5C"/>
    <w:rsid w:val="00084659"/>
    <w:rsid w:val="000869B8"/>
    <w:rsid w:val="00086F6C"/>
    <w:rsid w:val="00090B04"/>
    <w:rsid w:val="0009161A"/>
    <w:rsid w:val="00091AD5"/>
    <w:rsid w:val="00092C71"/>
    <w:rsid w:val="000939EB"/>
    <w:rsid w:val="000947D4"/>
    <w:rsid w:val="00096A60"/>
    <w:rsid w:val="00096CEC"/>
    <w:rsid w:val="000A1768"/>
    <w:rsid w:val="000A22D7"/>
    <w:rsid w:val="000A6020"/>
    <w:rsid w:val="000A7700"/>
    <w:rsid w:val="000B0E44"/>
    <w:rsid w:val="000B44A8"/>
    <w:rsid w:val="000B5D8D"/>
    <w:rsid w:val="000B79DE"/>
    <w:rsid w:val="000C2DC0"/>
    <w:rsid w:val="000C3A2E"/>
    <w:rsid w:val="000C4C50"/>
    <w:rsid w:val="000C5BE8"/>
    <w:rsid w:val="000C5FCC"/>
    <w:rsid w:val="000C6814"/>
    <w:rsid w:val="000C6D4C"/>
    <w:rsid w:val="000D096B"/>
    <w:rsid w:val="000D1B18"/>
    <w:rsid w:val="000D233F"/>
    <w:rsid w:val="000D3AB8"/>
    <w:rsid w:val="000D4259"/>
    <w:rsid w:val="000D4ACF"/>
    <w:rsid w:val="000D6F52"/>
    <w:rsid w:val="000D7693"/>
    <w:rsid w:val="000E0A7E"/>
    <w:rsid w:val="000E13A3"/>
    <w:rsid w:val="000E4353"/>
    <w:rsid w:val="000E4818"/>
    <w:rsid w:val="000F1020"/>
    <w:rsid w:val="000F2BE7"/>
    <w:rsid w:val="000F2E93"/>
    <w:rsid w:val="000F52E3"/>
    <w:rsid w:val="000F7308"/>
    <w:rsid w:val="00106F64"/>
    <w:rsid w:val="001070A3"/>
    <w:rsid w:val="00107138"/>
    <w:rsid w:val="00107CD0"/>
    <w:rsid w:val="00110724"/>
    <w:rsid w:val="001139EB"/>
    <w:rsid w:val="00117391"/>
    <w:rsid w:val="0012001D"/>
    <w:rsid w:val="0012314F"/>
    <w:rsid w:val="00124EF6"/>
    <w:rsid w:val="00124FA2"/>
    <w:rsid w:val="00130BF3"/>
    <w:rsid w:val="0013144E"/>
    <w:rsid w:val="00132262"/>
    <w:rsid w:val="00134315"/>
    <w:rsid w:val="00135D0C"/>
    <w:rsid w:val="001431EB"/>
    <w:rsid w:val="00144631"/>
    <w:rsid w:val="00144846"/>
    <w:rsid w:val="001450F0"/>
    <w:rsid w:val="00147067"/>
    <w:rsid w:val="00147FA1"/>
    <w:rsid w:val="00151BEA"/>
    <w:rsid w:val="00152F05"/>
    <w:rsid w:val="00153939"/>
    <w:rsid w:val="0015397E"/>
    <w:rsid w:val="00153B19"/>
    <w:rsid w:val="001543C5"/>
    <w:rsid w:val="0015517C"/>
    <w:rsid w:val="00156B98"/>
    <w:rsid w:val="00160325"/>
    <w:rsid w:val="001649F5"/>
    <w:rsid w:val="00165084"/>
    <w:rsid w:val="00165953"/>
    <w:rsid w:val="00167BCE"/>
    <w:rsid w:val="00170022"/>
    <w:rsid w:val="00172858"/>
    <w:rsid w:val="00172EEA"/>
    <w:rsid w:val="0017472E"/>
    <w:rsid w:val="001758E3"/>
    <w:rsid w:val="00175B1F"/>
    <w:rsid w:val="00177707"/>
    <w:rsid w:val="00185DDE"/>
    <w:rsid w:val="00186880"/>
    <w:rsid w:val="00186ED2"/>
    <w:rsid w:val="0018793B"/>
    <w:rsid w:val="00190435"/>
    <w:rsid w:val="001919AD"/>
    <w:rsid w:val="00192DDE"/>
    <w:rsid w:val="00193267"/>
    <w:rsid w:val="001954E5"/>
    <w:rsid w:val="001A021B"/>
    <w:rsid w:val="001A3042"/>
    <w:rsid w:val="001A7B5F"/>
    <w:rsid w:val="001B2D4E"/>
    <w:rsid w:val="001B331D"/>
    <w:rsid w:val="001B65E3"/>
    <w:rsid w:val="001B70BB"/>
    <w:rsid w:val="001B7AB9"/>
    <w:rsid w:val="001C2E85"/>
    <w:rsid w:val="001C4725"/>
    <w:rsid w:val="001C7ED7"/>
    <w:rsid w:val="001D508D"/>
    <w:rsid w:val="001D64FD"/>
    <w:rsid w:val="001D6721"/>
    <w:rsid w:val="001D7451"/>
    <w:rsid w:val="001D7C03"/>
    <w:rsid w:val="001E1756"/>
    <w:rsid w:val="001E5882"/>
    <w:rsid w:val="001E7B7B"/>
    <w:rsid w:val="001F311A"/>
    <w:rsid w:val="001F4870"/>
    <w:rsid w:val="001F49E3"/>
    <w:rsid w:val="001F5D99"/>
    <w:rsid w:val="00200399"/>
    <w:rsid w:val="00200FF4"/>
    <w:rsid w:val="002026C4"/>
    <w:rsid w:val="00207235"/>
    <w:rsid w:val="00210437"/>
    <w:rsid w:val="002109DA"/>
    <w:rsid w:val="00210A5D"/>
    <w:rsid w:val="00212663"/>
    <w:rsid w:val="00221174"/>
    <w:rsid w:val="00221BB4"/>
    <w:rsid w:val="0022671A"/>
    <w:rsid w:val="002268E0"/>
    <w:rsid w:val="00226CB4"/>
    <w:rsid w:val="00230FE7"/>
    <w:rsid w:val="002317EE"/>
    <w:rsid w:val="00231DAA"/>
    <w:rsid w:val="00233036"/>
    <w:rsid w:val="00235F0B"/>
    <w:rsid w:val="0023688C"/>
    <w:rsid w:val="00241B74"/>
    <w:rsid w:val="00243D23"/>
    <w:rsid w:val="002440BB"/>
    <w:rsid w:val="002440DE"/>
    <w:rsid w:val="002449C9"/>
    <w:rsid w:val="00246FC9"/>
    <w:rsid w:val="002474AC"/>
    <w:rsid w:val="00247B74"/>
    <w:rsid w:val="00247C44"/>
    <w:rsid w:val="00251C85"/>
    <w:rsid w:val="002530D1"/>
    <w:rsid w:val="002541CC"/>
    <w:rsid w:val="0025658E"/>
    <w:rsid w:val="00257E14"/>
    <w:rsid w:val="00260719"/>
    <w:rsid w:val="0026186F"/>
    <w:rsid w:val="002630BC"/>
    <w:rsid w:val="00263E36"/>
    <w:rsid w:val="002734FA"/>
    <w:rsid w:val="00274514"/>
    <w:rsid w:val="00277753"/>
    <w:rsid w:val="00280E8C"/>
    <w:rsid w:val="002811EF"/>
    <w:rsid w:val="00281368"/>
    <w:rsid w:val="002818B9"/>
    <w:rsid w:val="00283E02"/>
    <w:rsid w:val="00283E3C"/>
    <w:rsid w:val="002840B1"/>
    <w:rsid w:val="00290F4D"/>
    <w:rsid w:val="002912AD"/>
    <w:rsid w:val="0029179A"/>
    <w:rsid w:val="00291ADB"/>
    <w:rsid w:val="0029622D"/>
    <w:rsid w:val="00297219"/>
    <w:rsid w:val="002A1350"/>
    <w:rsid w:val="002A2B9B"/>
    <w:rsid w:val="002A72FD"/>
    <w:rsid w:val="002A7E78"/>
    <w:rsid w:val="002B0899"/>
    <w:rsid w:val="002B23C5"/>
    <w:rsid w:val="002B552A"/>
    <w:rsid w:val="002B7240"/>
    <w:rsid w:val="002B78F8"/>
    <w:rsid w:val="002C029E"/>
    <w:rsid w:val="002C10AD"/>
    <w:rsid w:val="002C12BA"/>
    <w:rsid w:val="002C2837"/>
    <w:rsid w:val="002C3193"/>
    <w:rsid w:val="002C4E2C"/>
    <w:rsid w:val="002C591E"/>
    <w:rsid w:val="002C5D46"/>
    <w:rsid w:val="002C6312"/>
    <w:rsid w:val="002C70AF"/>
    <w:rsid w:val="002D1C2E"/>
    <w:rsid w:val="002D5A14"/>
    <w:rsid w:val="002D748F"/>
    <w:rsid w:val="002E317F"/>
    <w:rsid w:val="002E7102"/>
    <w:rsid w:val="002F0E94"/>
    <w:rsid w:val="002F1E98"/>
    <w:rsid w:val="002F31F2"/>
    <w:rsid w:val="002F4067"/>
    <w:rsid w:val="002F4F04"/>
    <w:rsid w:val="0030146A"/>
    <w:rsid w:val="00302B0D"/>
    <w:rsid w:val="0030381C"/>
    <w:rsid w:val="00306BA3"/>
    <w:rsid w:val="00312118"/>
    <w:rsid w:val="00312795"/>
    <w:rsid w:val="00315AEB"/>
    <w:rsid w:val="00316173"/>
    <w:rsid w:val="0031729F"/>
    <w:rsid w:val="00322B33"/>
    <w:rsid w:val="00327582"/>
    <w:rsid w:val="00331565"/>
    <w:rsid w:val="00331B0E"/>
    <w:rsid w:val="00332335"/>
    <w:rsid w:val="00335380"/>
    <w:rsid w:val="00336CC7"/>
    <w:rsid w:val="003406C1"/>
    <w:rsid w:val="00341780"/>
    <w:rsid w:val="00344A65"/>
    <w:rsid w:val="003514E0"/>
    <w:rsid w:val="00351C3F"/>
    <w:rsid w:val="0035311B"/>
    <w:rsid w:val="00355671"/>
    <w:rsid w:val="00357864"/>
    <w:rsid w:val="00361171"/>
    <w:rsid w:val="00361BF0"/>
    <w:rsid w:val="00362D0D"/>
    <w:rsid w:val="00363CFB"/>
    <w:rsid w:val="00363EBF"/>
    <w:rsid w:val="003659D9"/>
    <w:rsid w:val="00367DB5"/>
    <w:rsid w:val="00375872"/>
    <w:rsid w:val="0037712B"/>
    <w:rsid w:val="003778BD"/>
    <w:rsid w:val="003821C8"/>
    <w:rsid w:val="00384B3E"/>
    <w:rsid w:val="00384CA0"/>
    <w:rsid w:val="00385385"/>
    <w:rsid w:val="003872AE"/>
    <w:rsid w:val="00390504"/>
    <w:rsid w:val="00391B47"/>
    <w:rsid w:val="003920C8"/>
    <w:rsid w:val="003921B7"/>
    <w:rsid w:val="0039320C"/>
    <w:rsid w:val="00393FDC"/>
    <w:rsid w:val="00395D97"/>
    <w:rsid w:val="00396502"/>
    <w:rsid w:val="003A1F40"/>
    <w:rsid w:val="003A44E4"/>
    <w:rsid w:val="003A6C3F"/>
    <w:rsid w:val="003A7480"/>
    <w:rsid w:val="003B0445"/>
    <w:rsid w:val="003B0786"/>
    <w:rsid w:val="003B4C69"/>
    <w:rsid w:val="003B55D4"/>
    <w:rsid w:val="003B704E"/>
    <w:rsid w:val="003B7F17"/>
    <w:rsid w:val="003C0E64"/>
    <w:rsid w:val="003C1A24"/>
    <w:rsid w:val="003C382E"/>
    <w:rsid w:val="003C4429"/>
    <w:rsid w:val="003C5FBD"/>
    <w:rsid w:val="003D0150"/>
    <w:rsid w:val="003D2233"/>
    <w:rsid w:val="003D2E2F"/>
    <w:rsid w:val="003D550F"/>
    <w:rsid w:val="003E1199"/>
    <w:rsid w:val="003E6581"/>
    <w:rsid w:val="003E672B"/>
    <w:rsid w:val="003F0186"/>
    <w:rsid w:val="003F0DF4"/>
    <w:rsid w:val="003F0FD0"/>
    <w:rsid w:val="003F208D"/>
    <w:rsid w:val="003F5ABB"/>
    <w:rsid w:val="003F6D47"/>
    <w:rsid w:val="003F6ED5"/>
    <w:rsid w:val="00400F89"/>
    <w:rsid w:val="004011A7"/>
    <w:rsid w:val="0040392B"/>
    <w:rsid w:val="00407EEF"/>
    <w:rsid w:val="00412AD1"/>
    <w:rsid w:val="00412DCE"/>
    <w:rsid w:val="004143F1"/>
    <w:rsid w:val="0041633C"/>
    <w:rsid w:val="004208F8"/>
    <w:rsid w:val="00420F6A"/>
    <w:rsid w:val="004225E4"/>
    <w:rsid w:val="00425F20"/>
    <w:rsid w:val="00427F5A"/>
    <w:rsid w:val="00432060"/>
    <w:rsid w:val="00432BDB"/>
    <w:rsid w:val="004363C7"/>
    <w:rsid w:val="0044032D"/>
    <w:rsid w:val="00440E5A"/>
    <w:rsid w:val="004414C5"/>
    <w:rsid w:val="00444765"/>
    <w:rsid w:val="00450C36"/>
    <w:rsid w:val="0045275C"/>
    <w:rsid w:val="0046146A"/>
    <w:rsid w:val="00461F96"/>
    <w:rsid w:val="004624EB"/>
    <w:rsid w:val="0046799E"/>
    <w:rsid w:val="00472A8A"/>
    <w:rsid w:val="004765EA"/>
    <w:rsid w:val="00477507"/>
    <w:rsid w:val="0048471E"/>
    <w:rsid w:val="00484B46"/>
    <w:rsid w:val="00497DC2"/>
    <w:rsid w:val="004A131A"/>
    <w:rsid w:val="004A1A34"/>
    <w:rsid w:val="004A22A6"/>
    <w:rsid w:val="004A2542"/>
    <w:rsid w:val="004A2D56"/>
    <w:rsid w:val="004A4870"/>
    <w:rsid w:val="004A6623"/>
    <w:rsid w:val="004B074E"/>
    <w:rsid w:val="004B3313"/>
    <w:rsid w:val="004B376E"/>
    <w:rsid w:val="004B3FF4"/>
    <w:rsid w:val="004B5182"/>
    <w:rsid w:val="004B777F"/>
    <w:rsid w:val="004C22F2"/>
    <w:rsid w:val="004C252E"/>
    <w:rsid w:val="004C3D69"/>
    <w:rsid w:val="004C7C27"/>
    <w:rsid w:val="004D220D"/>
    <w:rsid w:val="004D4999"/>
    <w:rsid w:val="004D4E7A"/>
    <w:rsid w:val="004D7124"/>
    <w:rsid w:val="004E3C04"/>
    <w:rsid w:val="004E3EE6"/>
    <w:rsid w:val="004E77E3"/>
    <w:rsid w:val="004F1ED9"/>
    <w:rsid w:val="004F33D4"/>
    <w:rsid w:val="00500E72"/>
    <w:rsid w:val="005038BE"/>
    <w:rsid w:val="005062D6"/>
    <w:rsid w:val="005067EF"/>
    <w:rsid w:val="005102A2"/>
    <w:rsid w:val="005113FD"/>
    <w:rsid w:val="00512F29"/>
    <w:rsid w:val="00514890"/>
    <w:rsid w:val="00514D66"/>
    <w:rsid w:val="00517504"/>
    <w:rsid w:val="005206EE"/>
    <w:rsid w:val="005213AC"/>
    <w:rsid w:val="00521C92"/>
    <w:rsid w:val="00522A3A"/>
    <w:rsid w:val="00525E42"/>
    <w:rsid w:val="005260C2"/>
    <w:rsid w:val="005303EF"/>
    <w:rsid w:val="00531D04"/>
    <w:rsid w:val="00531E0B"/>
    <w:rsid w:val="00531EF2"/>
    <w:rsid w:val="0053303F"/>
    <w:rsid w:val="005336D0"/>
    <w:rsid w:val="00534EEE"/>
    <w:rsid w:val="005355EF"/>
    <w:rsid w:val="00536517"/>
    <w:rsid w:val="00537D38"/>
    <w:rsid w:val="00540109"/>
    <w:rsid w:val="0054015C"/>
    <w:rsid w:val="00540BF6"/>
    <w:rsid w:val="00540C90"/>
    <w:rsid w:val="00543533"/>
    <w:rsid w:val="00553938"/>
    <w:rsid w:val="00553D06"/>
    <w:rsid w:val="00554E0E"/>
    <w:rsid w:val="00555ACC"/>
    <w:rsid w:val="00561BB5"/>
    <w:rsid w:val="00561F06"/>
    <w:rsid w:val="005642D0"/>
    <w:rsid w:val="005658EB"/>
    <w:rsid w:val="00566329"/>
    <w:rsid w:val="00567B4A"/>
    <w:rsid w:val="00570DC4"/>
    <w:rsid w:val="00571340"/>
    <w:rsid w:val="005742C4"/>
    <w:rsid w:val="005813A9"/>
    <w:rsid w:val="005819AE"/>
    <w:rsid w:val="00583AE1"/>
    <w:rsid w:val="00583F63"/>
    <w:rsid w:val="00586AA1"/>
    <w:rsid w:val="00592928"/>
    <w:rsid w:val="005933EC"/>
    <w:rsid w:val="005935AB"/>
    <w:rsid w:val="00594B4E"/>
    <w:rsid w:val="005960F0"/>
    <w:rsid w:val="0059648B"/>
    <w:rsid w:val="005A213E"/>
    <w:rsid w:val="005A2ADE"/>
    <w:rsid w:val="005A3257"/>
    <w:rsid w:val="005A3837"/>
    <w:rsid w:val="005B2611"/>
    <w:rsid w:val="005B5C42"/>
    <w:rsid w:val="005B6A6B"/>
    <w:rsid w:val="005B7046"/>
    <w:rsid w:val="005B7D67"/>
    <w:rsid w:val="005C1289"/>
    <w:rsid w:val="005C246D"/>
    <w:rsid w:val="005C3170"/>
    <w:rsid w:val="005C4404"/>
    <w:rsid w:val="005C6444"/>
    <w:rsid w:val="005E1A9A"/>
    <w:rsid w:val="005E1CFE"/>
    <w:rsid w:val="005E20C1"/>
    <w:rsid w:val="005E2672"/>
    <w:rsid w:val="005E427F"/>
    <w:rsid w:val="005F2A3F"/>
    <w:rsid w:val="005F60E1"/>
    <w:rsid w:val="005F61ED"/>
    <w:rsid w:val="005F69D5"/>
    <w:rsid w:val="006104AC"/>
    <w:rsid w:val="00610DAE"/>
    <w:rsid w:val="00611E50"/>
    <w:rsid w:val="00617E8F"/>
    <w:rsid w:val="00621EA0"/>
    <w:rsid w:val="00623B71"/>
    <w:rsid w:val="006255B7"/>
    <w:rsid w:val="00630F56"/>
    <w:rsid w:val="006310A3"/>
    <w:rsid w:val="00631352"/>
    <w:rsid w:val="006319B2"/>
    <w:rsid w:val="006321A4"/>
    <w:rsid w:val="0063330B"/>
    <w:rsid w:val="006347F0"/>
    <w:rsid w:val="00634C9C"/>
    <w:rsid w:val="00634F25"/>
    <w:rsid w:val="00635045"/>
    <w:rsid w:val="00636FB3"/>
    <w:rsid w:val="006452D1"/>
    <w:rsid w:val="006461D4"/>
    <w:rsid w:val="006601A6"/>
    <w:rsid w:val="006613AC"/>
    <w:rsid w:val="006624FC"/>
    <w:rsid w:val="006647E5"/>
    <w:rsid w:val="00664968"/>
    <w:rsid w:val="006661C7"/>
    <w:rsid w:val="00666229"/>
    <w:rsid w:val="00666A55"/>
    <w:rsid w:val="00673C71"/>
    <w:rsid w:val="00680064"/>
    <w:rsid w:val="006826A6"/>
    <w:rsid w:val="00683210"/>
    <w:rsid w:val="00685598"/>
    <w:rsid w:val="00685F56"/>
    <w:rsid w:val="00685FEE"/>
    <w:rsid w:val="00692B7E"/>
    <w:rsid w:val="0069655A"/>
    <w:rsid w:val="00697EB4"/>
    <w:rsid w:val="006A1965"/>
    <w:rsid w:val="006A3CD0"/>
    <w:rsid w:val="006A6CDC"/>
    <w:rsid w:val="006A6FDE"/>
    <w:rsid w:val="006B29F8"/>
    <w:rsid w:val="006B2A65"/>
    <w:rsid w:val="006B2CA4"/>
    <w:rsid w:val="006B7816"/>
    <w:rsid w:val="006B7979"/>
    <w:rsid w:val="006C055D"/>
    <w:rsid w:val="006C1D3A"/>
    <w:rsid w:val="006C30E9"/>
    <w:rsid w:val="006C61E7"/>
    <w:rsid w:val="006C7A38"/>
    <w:rsid w:val="006D07E9"/>
    <w:rsid w:val="006D12C7"/>
    <w:rsid w:val="006D202F"/>
    <w:rsid w:val="006D3ADB"/>
    <w:rsid w:val="006D52D3"/>
    <w:rsid w:val="006D67F6"/>
    <w:rsid w:val="006D6885"/>
    <w:rsid w:val="006D6AA0"/>
    <w:rsid w:val="006E1C82"/>
    <w:rsid w:val="006E4B79"/>
    <w:rsid w:val="006E53D7"/>
    <w:rsid w:val="006E63AA"/>
    <w:rsid w:val="006E6635"/>
    <w:rsid w:val="006E714F"/>
    <w:rsid w:val="006E7287"/>
    <w:rsid w:val="006F22B1"/>
    <w:rsid w:val="006F2C86"/>
    <w:rsid w:val="006F37D6"/>
    <w:rsid w:val="006F4EED"/>
    <w:rsid w:val="006F50BB"/>
    <w:rsid w:val="00703CF6"/>
    <w:rsid w:val="00705694"/>
    <w:rsid w:val="00710C4B"/>
    <w:rsid w:val="007113E3"/>
    <w:rsid w:val="00715F36"/>
    <w:rsid w:val="00716E45"/>
    <w:rsid w:val="0071713B"/>
    <w:rsid w:val="00720D99"/>
    <w:rsid w:val="0072415C"/>
    <w:rsid w:val="0073496C"/>
    <w:rsid w:val="007349E6"/>
    <w:rsid w:val="00735082"/>
    <w:rsid w:val="0073513C"/>
    <w:rsid w:val="00736274"/>
    <w:rsid w:val="007376F7"/>
    <w:rsid w:val="00737C8C"/>
    <w:rsid w:val="00742447"/>
    <w:rsid w:val="00744BA6"/>
    <w:rsid w:val="00745927"/>
    <w:rsid w:val="00746875"/>
    <w:rsid w:val="00747D1B"/>
    <w:rsid w:val="00750DFE"/>
    <w:rsid w:val="00751C6C"/>
    <w:rsid w:val="00752B0A"/>
    <w:rsid w:val="00753DCA"/>
    <w:rsid w:val="0076144A"/>
    <w:rsid w:val="00761C85"/>
    <w:rsid w:val="0076222E"/>
    <w:rsid w:val="007627EB"/>
    <w:rsid w:val="0076301F"/>
    <w:rsid w:val="00763F28"/>
    <w:rsid w:val="0076613A"/>
    <w:rsid w:val="007809ED"/>
    <w:rsid w:val="00782A88"/>
    <w:rsid w:val="0078361A"/>
    <w:rsid w:val="007861B1"/>
    <w:rsid w:val="0078654F"/>
    <w:rsid w:val="00786B8A"/>
    <w:rsid w:val="00787AE3"/>
    <w:rsid w:val="00790B47"/>
    <w:rsid w:val="00792C04"/>
    <w:rsid w:val="007941BE"/>
    <w:rsid w:val="00794966"/>
    <w:rsid w:val="00795FFD"/>
    <w:rsid w:val="00796C70"/>
    <w:rsid w:val="007A5779"/>
    <w:rsid w:val="007A7747"/>
    <w:rsid w:val="007A790E"/>
    <w:rsid w:val="007B0FF5"/>
    <w:rsid w:val="007B3213"/>
    <w:rsid w:val="007B3781"/>
    <w:rsid w:val="007B409C"/>
    <w:rsid w:val="007B5D0C"/>
    <w:rsid w:val="007B6146"/>
    <w:rsid w:val="007C0615"/>
    <w:rsid w:val="007C066E"/>
    <w:rsid w:val="007C5094"/>
    <w:rsid w:val="007D1D02"/>
    <w:rsid w:val="007D3685"/>
    <w:rsid w:val="007D77C7"/>
    <w:rsid w:val="007E11B0"/>
    <w:rsid w:val="007E34F7"/>
    <w:rsid w:val="007E5BD1"/>
    <w:rsid w:val="007E737F"/>
    <w:rsid w:val="007E7FB0"/>
    <w:rsid w:val="007F0FE9"/>
    <w:rsid w:val="007F3404"/>
    <w:rsid w:val="007F355B"/>
    <w:rsid w:val="007F4B59"/>
    <w:rsid w:val="0080112C"/>
    <w:rsid w:val="00801510"/>
    <w:rsid w:val="008027CE"/>
    <w:rsid w:val="008038A0"/>
    <w:rsid w:val="00804CC6"/>
    <w:rsid w:val="00807F17"/>
    <w:rsid w:val="00812963"/>
    <w:rsid w:val="0081296A"/>
    <w:rsid w:val="008158A4"/>
    <w:rsid w:val="00815A0E"/>
    <w:rsid w:val="008218FE"/>
    <w:rsid w:val="0082202B"/>
    <w:rsid w:val="00822C54"/>
    <w:rsid w:val="00822DC9"/>
    <w:rsid w:val="00823AF2"/>
    <w:rsid w:val="00825F47"/>
    <w:rsid w:val="008329DE"/>
    <w:rsid w:val="008329E2"/>
    <w:rsid w:val="00832B1B"/>
    <w:rsid w:val="00834AA9"/>
    <w:rsid w:val="00840347"/>
    <w:rsid w:val="008412EF"/>
    <w:rsid w:val="00841FB6"/>
    <w:rsid w:val="00842BC8"/>
    <w:rsid w:val="00842DCE"/>
    <w:rsid w:val="008441DC"/>
    <w:rsid w:val="008451D4"/>
    <w:rsid w:val="0085049F"/>
    <w:rsid w:val="00850F0B"/>
    <w:rsid w:val="0085350D"/>
    <w:rsid w:val="008561CD"/>
    <w:rsid w:val="00856626"/>
    <w:rsid w:val="0086027A"/>
    <w:rsid w:val="00862013"/>
    <w:rsid w:val="00864C1E"/>
    <w:rsid w:val="00874CE4"/>
    <w:rsid w:val="00874E76"/>
    <w:rsid w:val="00880CA0"/>
    <w:rsid w:val="0088208B"/>
    <w:rsid w:val="0088390C"/>
    <w:rsid w:val="00885957"/>
    <w:rsid w:val="00885D3F"/>
    <w:rsid w:val="008876F9"/>
    <w:rsid w:val="00887D5A"/>
    <w:rsid w:val="008937EB"/>
    <w:rsid w:val="00894FB4"/>
    <w:rsid w:val="00895418"/>
    <w:rsid w:val="00896990"/>
    <w:rsid w:val="00897508"/>
    <w:rsid w:val="008A2D81"/>
    <w:rsid w:val="008A314C"/>
    <w:rsid w:val="008A5752"/>
    <w:rsid w:val="008A6873"/>
    <w:rsid w:val="008B0F95"/>
    <w:rsid w:val="008B2335"/>
    <w:rsid w:val="008B3D62"/>
    <w:rsid w:val="008B4135"/>
    <w:rsid w:val="008B492A"/>
    <w:rsid w:val="008B5440"/>
    <w:rsid w:val="008B555A"/>
    <w:rsid w:val="008B5EA1"/>
    <w:rsid w:val="008B64D6"/>
    <w:rsid w:val="008C327E"/>
    <w:rsid w:val="008D074A"/>
    <w:rsid w:val="008D16B3"/>
    <w:rsid w:val="008D3D5D"/>
    <w:rsid w:val="008D40A7"/>
    <w:rsid w:val="008D4579"/>
    <w:rsid w:val="008E2198"/>
    <w:rsid w:val="008E66AF"/>
    <w:rsid w:val="008E77C3"/>
    <w:rsid w:val="008F75F1"/>
    <w:rsid w:val="00900C46"/>
    <w:rsid w:val="009030CA"/>
    <w:rsid w:val="00903195"/>
    <w:rsid w:val="0090404B"/>
    <w:rsid w:val="0090627A"/>
    <w:rsid w:val="009064A2"/>
    <w:rsid w:val="009078B4"/>
    <w:rsid w:val="00912D90"/>
    <w:rsid w:val="0091377D"/>
    <w:rsid w:val="009145D4"/>
    <w:rsid w:val="00914D30"/>
    <w:rsid w:val="00915A90"/>
    <w:rsid w:val="00920680"/>
    <w:rsid w:val="0092116E"/>
    <w:rsid w:val="009264D3"/>
    <w:rsid w:val="00926645"/>
    <w:rsid w:val="00927894"/>
    <w:rsid w:val="00927960"/>
    <w:rsid w:val="00930040"/>
    <w:rsid w:val="00931475"/>
    <w:rsid w:val="00931860"/>
    <w:rsid w:val="0093250B"/>
    <w:rsid w:val="0093396B"/>
    <w:rsid w:val="0094079C"/>
    <w:rsid w:val="00942DE1"/>
    <w:rsid w:val="0094560D"/>
    <w:rsid w:val="009465D4"/>
    <w:rsid w:val="00946CAD"/>
    <w:rsid w:val="00950BB8"/>
    <w:rsid w:val="00952E1F"/>
    <w:rsid w:val="00953903"/>
    <w:rsid w:val="0095438C"/>
    <w:rsid w:val="00954F99"/>
    <w:rsid w:val="009563FF"/>
    <w:rsid w:val="0095678F"/>
    <w:rsid w:val="00956C22"/>
    <w:rsid w:val="00956D58"/>
    <w:rsid w:val="00960913"/>
    <w:rsid w:val="009611F1"/>
    <w:rsid w:val="0096427F"/>
    <w:rsid w:val="00970DAB"/>
    <w:rsid w:val="00970F15"/>
    <w:rsid w:val="00974596"/>
    <w:rsid w:val="0097494E"/>
    <w:rsid w:val="00975015"/>
    <w:rsid w:val="0097638D"/>
    <w:rsid w:val="00980761"/>
    <w:rsid w:val="009836CF"/>
    <w:rsid w:val="0098474C"/>
    <w:rsid w:val="00984D71"/>
    <w:rsid w:val="00984F61"/>
    <w:rsid w:val="00986F45"/>
    <w:rsid w:val="0098767D"/>
    <w:rsid w:val="00987ACF"/>
    <w:rsid w:val="009915FC"/>
    <w:rsid w:val="00992CB9"/>
    <w:rsid w:val="00994D68"/>
    <w:rsid w:val="00996DA5"/>
    <w:rsid w:val="009A3A2A"/>
    <w:rsid w:val="009A67A1"/>
    <w:rsid w:val="009A6A8C"/>
    <w:rsid w:val="009B1D13"/>
    <w:rsid w:val="009B2768"/>
    <w:rsid w:val="009B3105"/>
    <w:rsid w:val="009B6CEE"/>
    <w:rsid w:val="009B7CD7"/>
    <w:rsid w:val="009C15AC"/>
    <w:rsid w:val="009C2A38"/>
    <w:rsid w:val="009C74C1"/>
    <w:rsid w:val="009D1456"/>
    <w:rsid w:val="009D2F5C"/>
    <w:rsid w:val="009D6E26"/>
    <w:rsid w:val="009D7BA3"/>
    <w:rsid w:val="009E113E"/>
    <w:rsid w:val="009E226E"/>
    <w:rsid w:val="009E389D"/>
    <w:rsid w:val="009E62AC"/>
    <w:rsid w:val="009F048D"/>
    <w:rsid w:val="009F226D"/>
    <w:rsid w:val="009F447F"/>
    <w:rsid w:val="009F54DB"/>
    <w:rsid w:val="009F7FB6"/>
    <w:rsid w:val="00A0157D"/>
    <w:rsid w:val="00A0356D"/>
    <w:rsid w:val="00A04D1F"/>
    <w:rsid w:val="00A1051E"/>
    <w:rsid w:val="00A1500B"/>
    <w:rsid w:val="00A1559C"/>
    <w:rsid w:val="00A155C2"/>
    <w:rsid w:val="00A15C60"/>
    <w:rsid w:val="00A17560"/>
    <w:rsid w:val="00A17E3E"/>
    <w:rsid w:val="00A2061F"/>
    <w:rsid w:val="00A2076B"/>
    <w:rsid w:val="00A20EA6"/>
    <w:rsid w:val="00A233B7"/>
    <w:rsid w:val="00A32710"/>
    <w:rsid w:val="00A334F7"/>
    <w:rsid w:val="00A34C5E"/>
    <w:rsid w:val="00A36B3E"/>
    <w:rsid w:val="00A3766D"/>
    <w:rsid w:val="00A41195"/>
    <w:rsid w:val="00A41D04"/>
    <w:rsid w:val="00A432EF"/>
    <w:rsid w:val="00A461AD"/>
    <w:rsid w:val="00A4696D"/>
    <w:rsid w:val="00A567E6"/>
    <w:rsid w:val="00A610C2"/>
    <w:rsid w:val="00A62E56"/>
    <w:rsid w:val="00A641AB"/>
    <w:rsid w:val="00A70674"/>
    <w:rsid w:val="00A7252A"/>
    <w:rsid w:val="00A742E9"/>
    <w:rsid w:val="00A76476"/>
    <w:rsid w:val="00A76A0B"/>
    <w:rsid w:val="00A82924"/>
    <w:rsid w:val="00A86F19"/>
    <w:rsid w:val="00A90798"/>
    <w:rsid w:val="00A90972"/>
    <w:rsid w:val="00AA1E54"/>
    <w:rsid w:val="00AA6CD5"/>
    <w:rsid w:val="00AB01A0"/>
    <w:rsid w:val="00AB01EF"/>
    <w:rsid w:val="00AB251F"/>
    <w:rsid w:val="00AB6FFB"/>
    <w:rsid w:val="00AC21A3"/>
    <w:rsid w:val="00AC3C9B"/>
    <w:rsid w:val="00AC6675"/>
    <w:rsid w:val="00AD27AC"/>
    <w:rsid w:val="00AD5612"/>
    <w:rsid w:val="00AD5927"/>
    <w:rsid w:val="00AE532F"/>
    <w:rsid w:val="00AE692A"/>
    <w:rsid w:val="00AF1324"/>
    <w:rsid w:val="00AF3150"/>
    <w:rsid w:val="00B0087D"/>
    <w:rsid w:val="00B04194"/>
    <w:rsid w:val="00B10CA9"/>
    <w:rsid w:val="00B112C3"/>
    <w:rsid w:val="00B120FC"/>
    <w:rsid w:val="00B20B7A"/>
    <w:rsid w:val="00B23AC8"/>
    <w:rsid w:val="00B2462D"/>
    <w:rsid w:val="00B251F8"/>
    <w:rsid w:val="00B278AE"/>
    <w:rsid w:val="00B306AC"/>
    <w:rsid w:val="00B34696"/>
    <w:rsid w:val="00B34890"/>
    <w:rsid w:val="00B34F07"/>
    <w:rsid w:val="00B35E88"/>
    <w:rsid w:val="00B4171C"/>
    <w:rsid w:val="00B418FB"/>
    <w:rsid w:val="00B41D69"/>
    <w:rsid w:val="00B4208D"/>
    <w:rsid w:val="00B43701"/>
    <w:rsid w:val="00B43EA2"/>
    <w:rsid w:val="00B453A4"/>
    <w:rsid w:val="00B50BEC"/>
    <w:rsid w:val="00B530A8"/>
    <w:rsid w:val="00B547CB"/>
    <w:rsid w:val="00B54A22"/>
    <w:rsid w:val="00B570F9"/>
    <w:rsid w:val="00B576BC"/>
    <w:rsid w:val="00B61E91"/>
    <w:rsid w:val="00B624E4"/>
    <w:rsid w:val="00B63666"/>
    <w:rsid w:val="00B63CFD"/>
    <w:rsid w:val="00B64B81"/>
    <w:rsid w:val="00B671C6"/>
    <w:rsid w:val="00B71A7F"/>
    <w:rsid w:val="00B74E6A"/>
    <w:rsid w:val="00B80EE2"/>
    <w:rsid w:val="00B92C49"/>
    <w:rsid w:val="00B93C8B"/>
    <w:rsid w:val="00B94E14"/>
    <w:rsid w:val="00B96BE4"/>
    <w:rsid w:val="00BA58F7"/>
    <w:rsid w:val="00BA6B50"/>
    <w:rsid w:val="00BB067B"/>
    <w:rsid w:val="00BB4716"/>
    <w:rsid w:val="00BB49DD"/>
    <w:rsid w:val="00BB55C7"/>
    <w:rsid w:val="00BB5E73"/>
    <w:rsid w:val="00BC1FC3"/>
    <w:rsid w:val="00BC4C42"/>
    <w:rsid w:val="00BC6209"/>
    <w:rsid w:val="00BC6AA7"/>
    <w:rsid w:val="00BD7774"/>
    <w:rsid w:val="00BE05F3"/>
    <w:rsid w:val="00BE319B"/>
    <w:rsid w:val="00BE431A"/>
    <w:rsid w:val="00BE48EA"/>
    <w:rsid w:val="00BE684E"/>
    <w:rsid w:val="00BF1832"/>
    <w:rsid w:val="00BF251E"/>
    <w:rsid w:val="00BF76E9"/>
    <w:rsid w:val="00C018C6"/>
    <w:rsid w:val="00C0334D"/>
    <w:rsid w:val="00C078D6"/>
    <w:rsid w:val="00C117EB"/>
    <w:rsid w:val="00C11EBD"/>
    <w:rsid w:val="00C2105C"/>
    <w:rsid w:val="00C21269"/>
    <w:rsid w:val="00C23245"/>
    <w:rsid w:val="00C24306"/>
    <w:rsid w:val="00C264BF"/>
    <w:rsid w:val="00C27E81"/>
    <w:rsid w:val="00C3032F"/>
    <w:rsid w:val="00C30AF5"/>
    <w:rsid w:val="00C41FA9"/>
    <w:rsid w:val="00C430C8"/>
    <w:rsid w:val="00C43D66"/>
    <w:rsid w:val="00C4422C"/>
    <w:rsid w:val="00C443C7"/>
    <w:rsid w:val="00C44C76"/>
    <w:rsid w:val="00C47CAC"/>
    <w:rsid w:val="00C47D33"/>
    <w:rsid w:val="00C518E9"/>
    <w:rsid w:val="00C53C2A"/>
    <w:rsid w:val="00C565C1"/>
    <w:rsid w:val="00C57BB1"/>
    <w:rsid w:val="00C65382"/>
    <w:rsid w:val="00C65A0C"/>
    <w:rsid w:val="00C65FB9"/>
    <w:rsid w:val="00C76729"/>
    <w:rsid w:val="00C76CCF"/>
    <w:rsid w:val="00C81CA0"/>
    <w:rsid w:val="00C844ED"/>
    <w:rsid w:val="00C849C1"/>
    <w:rsid w:val="00C85FE3"/>
    <w:rsid w:val="00C922A7"/>
    <w:rsid w:val="00CA2AF7"/>
    <w:rsid w:val="00CA377E"/>
    <w:rsid w:val="00CA42C1"/>
    <w:rsid w:val="00CA5471"/>
    <w:rsid w:val="00CB12DE"/>
    <w:rsid w:val="00CB20AB"/>
    <w:rsid w:val="00CB3453"/>
    <w:rsid w:val="00CB3BF3"/>
    <w:rsid w:val="00CB4AE7"/>
    <w:rsid w:val="00CB4E33"/>
    <w:rsid w:val="00CB61B5"/>
    <w:rsid w:val="00CC03C8"/>
    <w:rsid w:val="00CC733F"/>
    <w:rsid w:val="00CC75F1"/>
    <w:rsid w:val="00CC7F07"/>
    <w:rsid w:val="00CD0744"/>
    <w:rsid w:val="00CD26B4"/>
    <w:rsid w:val="00CD3B3D"/>
    <w:rsid w:val="00CD4258"/>
    <w:rsid w:val="00CD602C"/>
    <w:rsid w:val="00CD7744"/>
    <w:rsid w:val="00CE1CE6"/>
    <w:rsid w:val="00CE1D9F"/>
    <w:rsid w:val="00CE42E2"/>
    <w:rsid w:val="00CF4417"/>
    <w:rsid w:val="00CF5126"/>
    <w:rsid w:val="00CF7B70"/>
    <w:rsid w:val="00D01378"/>
    <w:rsid w:val="00D0541B"/>
    <w:rsid w:val="00D05D5A"/>
    <w:rsid w:val="00D05E2E"/>
    <w:rsid w:val="00D079E9"/>
    <w:rsid w:val="00D07E50"/>
    <w:rsid w:val="00D10281"/>
    <w:rsid w:val="00D10392"/>
    <w:rsid w:val="00D11608"/>
    <w:rsid w:val="00D117F5"/>
    <w:rsid w:val="00D11874"/>
    <w:rsid w:val="00D11E34"/>
    <w:rsid w:val="00D12C92"/>
    <w:rsid w:val="00D1507D"/>
    <w:rsid w:val="00D17F0B"/>
    <w:rsid w:val="00D20BAD"/>
    <w:rsid w:val="00D22BA2"/>
    <w:rsid w:val="00D2664B"/>
    <w:rsid w:val="00D27EDC"/>
    <w:rsid w:val="00D31569"/>
    <w:rsid w:val="00D328F9"/>
    <w:rsid w:val="00D32D51"/>
    <w:rsid w:val="00D35F67"/>
    <w:rsid w:val="00D37140"/>
    <w:rsid w:val="00D374E5"/>
    <w:rsid w:val="00D4102B"/>
    <w:rsid w:val="00D42721"/>
    <w:rsid w:val="00D42778"/>
    <w:rsid w:val="00D4333B"/>
    <w:rsid w:val="00D524CD"/>
    <w:rsid w:val="00D53BDA"/>
    <w:rsid w:val="00D5407F"/>
    <w:rsid w:val="00D55E50"/>
    <w:rsid w:val="00D56552"/>
    <w:rsid w:val="00D56A89"/>
    <w:rsid w:val="00D60792"/>
    <w:rsid w:val="00D62312"/>
    <w:rsid w:val="00D62DE4"/>
    <w:rsid w:val="00D67048"/>
    <w:rsid w:val="00D70229"/>
    <w:rsid w:val="00D716B5"/>
    <w:rsid w:val="00D72769"/>
    <w:rsid w:val="00D72E5A"/>
    <w:rsid w:val="00D730DB"/>
    <w:rsid w:val="00D81591"/>
    <w:rsid w:val="00D82AFB"/>
    <w:rsid w:val="00D90A2E"/>
    <w:rsid w:val="00D9110C"/>
    <w:rsid w:val="00D9199A"/>
    <w:rsid w:val="00D920F7"/>
    <w:rsid w:val="00D92612"/>
    <w:rsid w:val="00D9506E"/>
    <w:rsid w:val="00D966D8"/>
    <w:rsid w:val="00DA4040"/>
    <w:rsid w:val="00DA5646"/>
    <w:rsid w:val="00DA772F"/>
    <w:rsid w:val="00DB2AC9"/>
    <w:rsid w:val="00DB3870"/>
    <w:rsid w:val="00DB622C"/>
    <w:rsid w:val="00DC137E"/>
    <w:rsid w:val="00DC1EAB"/>
    <w:rsid w:val="00DC2953"/>
    <w:rsid w:val="00DC389C"/>
    <w:rsid w:val="00DC50FC"/>
    <w:rsid w:val="00DD29CB"/>
    <w:rsid w:val="00DE09FF"/>
    <w:rsid w:val="00DE3498"/>
    <w:rsid w:val="00DE42F7"/>
    <w:rsid w:val="00DE5D5C"/>
    <w:rsid w:val="00DE5F6A"/>
    <w:rsid w:val="00DE6544"/>
    <w:rsid w:val="00DF1527"/>
    <w:rsid w:val="00DF4730"/>
    <w:rsid w:val="00DF74D5"/>
    <w:rsid w:val="00E0162A"/>
    <w:rsid w:val="00E03AE2"/>
    <w:rsid w:val="00E04082"/>
    <w:rsid w:val="00E0471C"/>
    <w:rsid w:val="00E05306"/>
    <w:rsid w:val="00E07637"/>
    <w:rsid w:val="00E07A40"/>
    <w:rsid w:val="00E1047C"/>
    <w:rsid w:val="00E132AA"/>
    <w:rsid w:val="00E20380"/>
    <w:rsid w:val="00E20C4E"/>
    <w:rsid w:val="00E23AF7"/>
    <w:rsid w:val="00E27158"/>
    <w:rsid w:val="00E40140"/>
    <w:rsid w:val="00E4140F"/>
    <w:rsid w:val="00E46CF8"/>
    <w:rsid w:val="00E50066"/>
    <w:rsid w:val="00E54DFB"/>
    <w:rsid w:val="00E55FF0"/>
    <w:rsid w:val="00E5656B"/>
    <w:rsid w:val="00E57228"/>
    <w:rsid w:val="00E57F5D"/>
    <w:rsid w:val="00E6118B"/>
    <w:rsid w:val="00E61C03"/>
    <w:rsid w:val="00E62215"/>
    <w:rsid w:val="00E6269E"/>
    <w:rsid w:val="00E655F8"/>
    <w:rsid w:val="00E65785"/>
    <w:rsid w:val="00E66156"/>
    <w:rsid w:val="00E67375"/>
    <w:rsid w:val="00E72DB8"/>
    <w:rsid w:val="00E756B0"/>
    <w:rsid w:val="00E829DA"/>
    <w:rsid w:val="00E82D56"/>
    <w:rsid w:val="00E865E3"/>
    <w:rsid w:val="00E86FD2"/>
    <w:rsid w:val="00E8747A"/>
    <w:rsid w:val="00E9052A"/>
    <w:rsid w:val="00E90EBC"/>
    <w:rsid w:val="00EA1D5B"/>
    <w:rsid w:val="00EA5858"/>
    <w:rsid w:val="00EB0CBE"/>
    <w:rsid w:val="00EB34A8"/>
    <w:rsid w:val="00EB408E"/>
    <w:rsid w:val="00EB4D8C"/>
    <w:rsid w:val="00EB5ECC"/>
    <w:rsid w:val="00EB7792"/>
    <w:rsid w:val="00EC026A"/>
    <w:rsid w:val="00EC117F"/>
    <w:rsid w:val="00EC5E03"/>
    <w:rsid w:val="00EC7246"/>
    <w:rsid w:val="00ED1839"/>
    <w:rsid w:val="00ED52C4"/>
    <w:rsid w:val="00ED692E"/>
    <w:rsid w:val="00ED7B81"/>
    <w:rsid w:val="00EE1D5F"/>
    <w:rsid w:val="00EE2910"/>
    <w:rsid w:val="00EE402D"/>
    <w:rsid w:val="00EE4B53"/>
    <w:rsid w:val="00EE6717"/>
    <w:rsid w:val="00EF70B9"/>
    <w:rsid w:val="00F00C05"/>
    <w:rsid w:val="00F074B6"/>
    <w:rsid w:val="00F07B93"/>
    <w:rsid w:val="00F07CF6"/>
    <w:rsid w:val="00F07DF7"/>
    <w:rsid w:val="00F11677"/>
    <w:rsid w:val="00F13E64"/>
    <w:rsid w:val="00F141FE"/>
    <w:rsid w:val="00F14CDF"/>
    <w:rsid w:val="00F22322"/>
    <w:rsid w:val="00F23EC0"/>
    <w:rsid w:val="00F24A24"/>
    <w:rsid w:val="00F24EFB"/>
    <w:rsid w:val="00F27EA9"/>
    <w:rsid w:val="00F33A4A"/>
    <w:rsid w:val="00F33EC9"/>
    <w:rsid w:val="00F34468"/>
    <w:rsid w:val="00F344D4"/>
    <w:rsid w:val="00F3458C"/>
    <w:rsid w:val="00F35F19"/>
    <w:rsid w:val="00F36D2D"/>
    <w:rsid w:val="00F4174E"/>
    <w:rsid w:val="00F4440D"/>
    <w:rsid w:val="00F452AA"/>
    <w:rsid w:val="00F51A07"/>
    <w:rsid w:val="00F5221F"/>
    <w:rsid w:val="00F53BE3"/>
    <w:rsid w:val="00F53E5A"/>
    <w:rsid w:val="00F54AE6"/>
    <w:rsid w:val="00F555EB"/>
    <w:rsid w:val="00F556F4"/>
    <w:rsid w:val="00F60E7C"/>
    <w:rsid w:val="00F60FC6"/>
    <w:rsid w:val="00F6236C"/>
    <w:rsid w:val="00F626E9"/>
    <w:rsid w:val="00F636C4"/>
    <w:rsid w:val="00F65A3B"/>
    <w:rsid w:val="00F65BE5"/>
    <w:rsid w:val="00F65DB2"/>
    <w:rsid w:val="00F664F9"/>
    <w:rsid w:val="00F669C3"/>
    <w:rsid w:val="00F67925"/>
    <w:rsid w:val="00F73B94"/>
    <w:rsid w:val="00F74488"/>
    <w:rsid w:val="00F748BF"/>
    <w:rsid w:val="00F75816"/>
    <w:rsid w:val="00F76D71"/>
    <w:rsid w:val="00F77DCC"/>
    <w:rsid w:val="00F81EF4"/>
    <w:rsid w:val="00F854FB"/>
    <w:rsid w:val="00F908D9"/>
    <w:rsid w:val="00F90BF1"/>
    <w:rsid w:val="00F9115C"/>
    <w:rsid w:val="00F959CC"/>
    <w:rsid w:val="00FA13AF"/>
    <w:rsid w:val="00FA244F"/>
    <w:rsid w:val="00FA3032"/>
    <w:rsid w:val="00FA3BD1"/>
    <w:rsid w:val="00FA65BE"/>
    <w:rsid w:val="00FB1755"/>
    <w:rsid w:val="00FB537D"/>
    <w:rsid w:val="00FB5398"/>
    <w:rsid w:val="00FB57D7"/>
    <w:rsid w:val="00FB7887"/>
    <w:rsid w:val="00FC0674"/>
    <w:rsid w:val="00FC20DD"/>
    <w:rsid w:val="00FC4420"/>
    <w:rsid w:val="00FC52D8"/>
    <w:rsid w:val="00FC5B71"/>
    <w:rsid w:val="00FD01CD"/>
    <w:rsid w:val="00FD147B"/>
    <w:rsid w:val="00FD4C4D"/>
    <w:rsid w:val="00FE147E"/>
    <w:rsid w:val="00FE2B95"/>
    <w:rsid w:val="00FF079D"/>
    <w:rsid w:val="00FF22E4"/>
    <w:rsid w:val="014F5E80"/>
    <w:rsid w:val="02596A0E"/>
    <w:rsid w:val="03A93BDF"/>
    <w:rsid w:val="064476FF"/>
    <w:rsid w:val="090D480D"/>
    <w:rsid w:val="0A154E4E"/>
    <w:rsid w:val="11C048DA"/>
    <w:rsid w:val="12835005"/>
    <w:rsid w:val="13A70D74"/>
    <w:rsid w:val="14907B63"/>
    <w:rsid w:val="15864A13"/>
    <w:rsid w:val="15875132"/>
    <w:rsid w:val="15E23C3A"/>
    <w:rsid w:val="16D225FA"/>
    <w:rsid w:val="19262742"/>
    <w:rsid w:val="1986336A"/>
    <w:rsid w:val="1BC513CE"/>
    <w:rsid w:val="1CC53352"/>
    <w:rsid w:val="1CFB3D09"/>
    <w:rsid w:val="1D886C2C"/>
    <w:rsid w:val="1E7D157C"/>
    <w:rsid w:val="1F69347E"/>
    <w:rsid w:val="238F4C21"/>
    <w:rsid w:val="23CA41CA"/>
    <w:rsid w:val="25A8736C"/>
    <w:rsid w:val="26A433A1"/>
    <w:rsid w:val="275A1B95"/>
    <w:rsid w:val="286B7220"/>
    <w:rsid w:val="298758C7"/>
    <w:rsid w:val="2A0E74F9"/>
    <w:rsid w:val="2AB918A8"/>
    <w:rsid w:val="2CBA3715"/>
    <w:rsid w:val="2D4642EB"/>
    <w:rsid w:val="3039181B"/>
    <w:rsid w:val="338023F4"/>
    <w:rsid w:val="36D05338"/>
    <w:rsid w:val="36E052F7"/>
    <w:rsid w:val="37062CAA"/>
    <w:rsid w:val="37B62837"/>
    <w:rsid w:val="3B094358"/>
    <w:rsid w:val="3BF90028"/>
    <w:rsid w:val="3D1D2931"/>
    <w:rsid w:val="3FB835CE"/>
    <w:rsid w:val="3FD10998"/>
    <w:rsid w:val="408F4BDC"/>
    <w:rsid w:val="412128C9"/>
    <w:rsid w:val="43431C68"/>
    <w:rsid w:val="452E08BE"/>
    <w:rsid w:val="47C821E8"/>
    <w:rsid w:val="4D0B073B"/>
    <w:rsid w:val="4E1C35B8"/>
    <w:rsid w:val="4FBE31D4"/>
    <w:rsid w:val="50C11D04"/>
    <w:rsid w:val="50C8689B"/>
    <w:rsid w:val="54EF7443"/>
    <w:rsid w:val="5AAE08AC"/>
    <w:rsid w:val="5D2F2E16"/>
    <w:rsid w:val="5E91384B"/>
    <w:rsid w:val="5F4F10B8"/>
    <w:rsid w:val="617603B1"/>
    <w:rsid w:val="640C3FAD"/>
    <w:rsid w:val="641A2852"/>
    <w:rsid w:val="6440017A"/>
    <w:rsid w:val="663875B3"/>
    <w:rsid w:val="691D686B"/>
    <w:rsid w:val="69E603BC"/>
    <w:rsid w:val="6DF754CE"/>
    <w:rsid w:val="715F4E71"/>
    <w:rsid w:val="738C3430"/>
    <w:rsid w:val="75390CC6"/>
    <w:rsid w:val="761B6009"/>
    <w:rsid w:val="76C73A1C"/>
    <w:rsid w:val="788269EB"/>
    <w:rsid w:val="79CC7450"/>
    <w:rsid w:val="7A33418F"/>
    <w:rsid w:val="7A635610"/>
    <w:rsid w:val="7B560630"/>
    <w:rsid w:val="7C8A5D53"/>
    <w:rsid w:val="7E0A083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99" w:semiHidden="0" w:name="Block Text"/>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9"/>
    <w:pPr>
      <w:keepNext/>
      <w:widowControl/>
      <w:numPr>
        <w:ilvl w:val="0"/>
        <w:numId w:val="1"/>
      </w:numPr>
      <w:spacing w:line="360" w:lineRule="auto"/>
      <w:jc w:val="center"/>
      <w:outlineLvl w:val="0"/>
    </w:pPr>
    <w:rPr>
      <w:rFonts w:ascii="Cambria" w:hAnsi="Cambria" w:eastAsia="黑体"/>
      <w:b/>
      <w:bCs/>
      <w:kern w:val="32"/>
      <w:sz w:val="32"/>
      <w:szCs w:val="32"/>
    </w:rPr>
  </w:style>
  <w:style w:type="paragraph" w:styleId="3">
    <w:name w:val="heading 2"/>
    <w:basedOn w:val="1"/>
    <w:next w:val="1"/>
    <w:link w:val="31"/>
    <w:qFormat/>
    <w:uiPriority w:val="99"/>
    <w:pPr>
      <w:keepNext/>
      <w:widowControl/>
      <w:numPr>
        <w:ilvl w:val="1"/>
        <w:numId w:val="1"/>
      </w:numPr>
      <w:spacing w:line="360" w:lineRule="auto"/>
      <w:jc w:val="center"/>
      <w:outlineLvl w:val="1"/>
    </w:pPr>
    <w:rPr>
      <w:rFonts w:ascii="Cambria" w:hAnsi="Cambria" w:eastAsia="黑体"/>
      <w:b/>
      <w:bCs/>
      <w:iCs/>
      <w:kern w:val="0"/>
      <w:sz w:val="32"/>
      <w:szCs w:val="28"/>
    </w:rPr>
  </w:style>
  <w:style w:type="paragraph" w:styleId="4">
    <w:name w:val="heading 3"/>
    <w:basedOn w:val="1"/>
    <w:next w:val="1"/>
    <w:link w:val="32"/>
    <w:qFormat/>
    <w:uiPriority w:val="99"/>
    <w:pPr>
      <w:keepNext/>
      <w:widowControl/>
      <w:jc w:val="left"/>
      <w:outlineLvl w:val="2"/>
    </w:pPr>
    <w:rPr>
      <w:rFonts w:ascii="Cambria" w:hAnsi="Cambria"/>
      <w:b/>
      <w:bCs/>
      <w:kern w:val="0"/>
      <w:szCs w:val="26"/>
    </w:rPr>
  </w:style>
  <w:style w:type="paragraph" w:styleId="5">
    <w:name w:val="heading 4"/>
    <w:basedOn w:val="1"/>
    <w:next w:val="1"/>
    <w:link w:val="33"/>
    <w:qFormat/>
    <w:locked/>
    <w:uiPriority w:val="99"/>
    <w:pPr>
      <w:keepNext/>
      <w:keepLines/>
      <w:spacing w:before="280" w:after="290" w:line="376" w:lineRule="auto"/>
      <w:outlineLvl w:val="3"/>
    </w:pPr>
    <w:rPr>
      <w:rFonts w:ascii="Cambria" w:hAnsi="Cambria"/>
      <w:b/>
      <w:bCs/>
      <w:sz w:val="28"/>
      <w:szCs w:val="28"/>
    </w:rPr>
  </w:style>
  <w:style w:type="paragraph" w:styleId="6">
    <w:name w:val="heading 5"/>
    <w:basedOn w:val="1"/>
    <w:next w:val="1"/>
    <w:link w:val="34"/>
    <w:qFormat/>
    <w:uiPriority w:val="99"/>
    <w:pPr>
      <w:widowControl/>
      <w:numPr>
        <w:ilvl w:val="4"/>
        <w:numId w:val="1"/>
      </w:numPr>
      <w:spacing w:before="240" w:after="60" w:line="360" w:lineRule="auto"/>
      <w:jc w:val="left"/>
      <w:outlineLvl w:val="4"/>
    </w:pPr>
    <w:rPr>
      <w:rFonts w:ascii="宋体" w:hAnsi="宋体"/>
      <w:b/>
      <w:bCs/>
      <w:i/>
      <w:iCs/>
      <w:kern w:val="0"/>
      <w:sz w:val="26"/>
      <w:szCs w:val="26"/>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6"/>
    <w:qFormat/>
    <w:uiPriority w:val="99"/>
    <w:pPr>
      <w:widowControl/>
      <w:adjustRightInd w:val="0"/>
      <w:spacing w:line="360" w:lineRule="auto"/>
      <w:ind w:firstLine="420"/>
      <w:jc w:val="left"/>
      <w:textAlignment w:val="baseline"/>
    </w:pPr>
    <w:rPr>
      <w:rFonts w:ascii="Calibri" w:hAnsi="Calibri"/>
      <w:kern w:val="0"/>
      <w:sz w:val="20"/>
      <w:szCs w:val="20"/>
    </w:rPr>
  </w:style>
  <w:style w:type="paragraph" w:styleId="8">
    <w:name w:val="annotation text"/>
    <w:basedOn w:val="1"/>
    <w:link w:val="35"/>
    <w:qFormat/>
    <w:uiPriority w:val="99"/>
    <w:pPr>
      <w:jc w:val="left"/>
    </w:pPr>
  </w:style>
  <w:style w:type="paragraph" w:styleId="9">
    <w:name w:val="Body Text"/>
    <w:basedOn w:val="1"/>
    <w:link w:val="66"/>
    <w:qFormat/>
    <w:locked/>
    <w:uiPriority w:val="99"/>
    <w:pPr>
      <w:spacing w:after="120"/>
    </w:pPr>
  </w:style>
  <w:style w:type="paragraph" w:styleId="10">
    <w:name w:val="Body Text Indent"/>
    <w:basedOn w:val="1"/>
    <w:link w:val="36"/>
    <w:qFormat/>
    <w:uiPriority w:val="99"/>
    <w:pPr>
      <w:spacing w:after="120"/>
      <w:ind w:left="420" w:leftChars="200"/>
    </w:pPr>
  </w:style>
  <w:style w:type="paragraph" w:styleId="11">
    <w:name w:val="Block Text"/>
    <w:basedOn w:val="1"/>
    <w:qFormat/>
    <w:uiPriority w:val="99"/>
    <w:pPr>
      <w:spacing w:after="156"/>
    </w:pPr>
    <w:rPr>
      <w:rFonts w:ascii="宋体" w:hAnsi="Calibri"/>
      <w:szCs w:val="22"/>
    </w:rPr>
  </w:style>
  <w:style w:type="paragraph" w:styleId="12">
    <w:name w:val="toc 3"/>
    <w:basedOn w:val="1"/>
    <w:next w:val="1"/>
    <w:qFormat/>
    <w:locked/>
    <w:uiPriority w:val="39"/>
    <w:pPr>
      <w:widowControl/>
      <w:spacing w:after="100" w:line="276" w:lineRule="auto"/>
      <w:ind w:left="440"/>
      <w:jc w:val="left"/>
    </w:pPr>
    <w:rPr>
      <w:rFonts w:ascii="Calibri" w:hAnsi="Calibri"/>
      <w:kern w:val="0"/>
      <w:sz w:val="22"/>
      <w:szCs w:val="22"/>
    </w:rPr>
  </w:style>
  <w:style w:type="paragraph" w:styleId="13">
    <w:name w:val="Plain Text"/>
    <w:basedOn w:val="1"/>
    <w:link w:val="37"/>
    <w:qFormat/>
    <w:uiPriority w:val="99"/>
    <w:rPr>
      <w:rFonts w:ascii="宋体" w:hAnsi="Courier New" w:eastAsia="微软雅黑"/>
      <w:szCs w:val="20"/>
    </w:rPr>
  </w:style>
  <w:style w:type="paragraph" w:styleId="14">
    <w:name w:val="Date"/>
    <w:basedOn w:val="1"/>
    <w:next w:val="1"/>
    <w:link w:val="38"/>
    <w:qFormat/>
    <w:uiPriority w:val="99"/>
    <w:pPr>
      <w:ind w:left="100" w:leftChars="2500"/>
    </w:pPr>
  </w:style>
  <w:style w:type="paragraph" w:styleId="15">
    <w:name w:val="Body Text Indent 2"/>
    <w:basedOn w:val="1"/>
    <w:link w:val="39"/>
    <w:qFormat/>
    <w:uiPriority w:val="99"/>
    <w:pPr>
      <w:spacing w:after="120" w:line="480" w:lineRule="auto"/>
      <w:ind w:left="420" w:leftChars="200"/>
    </w:pPr>
  </w:style>
  <w:style w:type="paragraph" w:styleId="16">
    <w:name w:val="Balloon Text"/>
    <w:basedOn w:val="1"/>
    <w:link w:val="40"/>
    <w:semiHidden/>
    <w:qFormat/>
    <w:uiPriority w:val="99"/>
    <w:rPr>
      <w:sz w:val="18"/>
      <w:szCs w:val="18"/>
    </w:rPr>
  </w:style>
  <w:style w:type="paragraph" w:styleId="17">
    <w:name w:val="footer"/>
    <w:basedOn w:val="1"/>
    <w:link w:val="41"/>
    <w:qFormat/>
    <w:uiPriority w:val="99"/>
    <w:pPr>
      <w:tabs>
        <w:tab w:val="center" w:pos="4153"/>
        <w:tab w:val="right" w:pos="8306"/>
      </w:tabs>
      <w:snapToGrid w:val="0"/>
      <w:jc w:val="left"/>
    </w:pPr>
    <w:rPr>
      <w:sz w:val="18"/>
      <w:szCs w:val="18"/>
    </w:rPr>
  </w:style>
  <w:style w:type="paragraph" w:styleId="18">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locked/>
    <w:uiPriority w:val="39"/>
    <w:pPr>
      <w:widowControl/>
      <w:spacing w:after="100" w:line="276" w:lineRule="auto"/>
      <w:jc w:val="left"/>
    </w:pPr>
    <w:rPr>
      <w:rFonts w:ascii="Calibri" w:hAnsi="Calibri"/>
      <w:kern w:val="0"/>
      <w:sz w:val="22"/>
      <w:szCs w:val="22"/>
    </w:rPr>
  </w:style>
  <w:style w:type="paragraph" w:styleId="20">
    <w:name w:val="toc 2"/>
    <w:basedOn w:val="1"/>
    <w:next w:val="1"/>
    <w:qFormat/>
    <w:locked/>
    <w:uiPriority w:val="39"/>
    <w:pPr>
      <w:widowControl/>
      <w:spacing w:after="100" w:line="276" w:lineRule="auto"/>
      <w:ind w:left="220"/>
      <w:jc w:val="left"/>
    </w:pPr>
    <w:rPr>
      <w:rFonts w:ascii="Calibri" w:hAnsi="Calibri"/>
      <w:kern w:val="0"/>
      <w:sz w:val="22"/>
      <w:szCs w:val="22"/>
    </w:rPr>
  </w:style>
  <w:style w:type="paragraph" w:styleId="21">
    <w:name w:val="toc 9"/>
    <w:basedOn w:val="1"/>
    <w:next w:val="1"/>
    <w:semiHidden/>
    <w:qFormat/>
    <w:locked/>
    <w:uiPriority w:val="99"/>
    <w:pPr>
      <w:ind w:left="3360" w:leftChars="1600"/>
    </w:p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Title"/>
    <w:basedOn w:val="1"/>
    <w:next w:val="1"/>
    <w:link w:val="43"/>
    <w:qFormat/>
    <w:locked/>
    <w:uiPriority w:val="99"/>
    <w:pPr>
      <w:spacing w:before="240" w:after="60"/>
      <w:jc w:val="center"/>
      <w:outlineLvl w:val="0"/>
    </w:pPr>
    <w:rPr>
      <w:rFonts w:ascii="Cambria" w:hAnsi="Cambria"/>
      <w:b/>
      <w:bCs/>
      <w:sz w:val="32"/>
      <w:szCs w:val="32"/>
    </w:rPr>
  </w:style>
  <w:style w:type="paragraph" w:styleId="24">
    <w:name w:val="annotation subject"/>
    <w:basedOn w:val="8"/>
    <w:next w:val="8"/>
    <w:link w:val="58"/>
    <w:semiHidden/>
    <w:qFormat/>
    <w:uiPriority w:val="99"/>
    <w:rPr>
      <w:b/>
      <w:bCs/>
    </w:rPr>
  </w:style>
  <w:style w:type="table" w:styleId="26">
    <w:name w:val="Table Grid"/>
    <w:basedOn w:val="25"/>
    <w:qFormat/>
    <w:lock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qFormat/>
    <w:uiPriority w:val="99"/>
    <w:rPr>
      <w:rFonts w:cs="Times New Roman"/>
      <w:color w:val="0000FF"/>
      <w:u w:val="single"/>
    </w:rPr>
  </w:style>
  <w:style w:type="character" w:styleId="29">
    <w:name w:val="annotation reference"/>
    <w:basedOn w:val="27"/>
    <w:qFormat/>
    <w:uiPriority w:val="99"/>
    <w:rPr>
      <w:rFonts w:cs="Times New Roman"/>
      <w:sz w:val="21"/>
      <w:szCs w:val="21"/>
    </w:rPr>
  </w:style>
  <w:style w:type="character" w:customStyle="1" w:styleId="30">
    <w:name w:val="标题 1 Char"/>
    <w:basedOn w:val="27"/>
    <w:link w:val="2"/>
    <w:qFormat/>
    <w:locked/>
    <w:uiPriority w:val="99"/>
    <w:rPr>
      <w:rFonts w:ascii="Cambria" w:hAnsi="Cambria" w:eastAsia="黑体" w:cs="Times New Roman"/>
      <w:b/>
      <w:bCs/>
      <w:kern w:val="32"/>
      <w:sz w:val="32"/>
      <w:szCs w:val="32"/>
    </w:rPr>
  </w:style>
  <w:style w:type="character" w:customStyle="1" w:styleId="31">
    <w:name w:val="标题 2 Char"/>
    <w:basedOn w:val="27"/>
    <w:link w:val="3"/>
    <w:qFormat/>
    <w:locked/>
    <w:uiPriority w:val="99"/>
    <w:rPr>
      <w:rFonts w:ascii="Cambria" w:hAnsi="Cambria" w:eastAsia="黑体" w:cs="Times New Roman"/>
      <w:b/>
      <w:bCs/>
      <w:iCs/>
      <w:sz w:val="28"/>
      <w:szCs w:val="28"/>
    </w:rPr>
  </w:style>
  <w:style w:type="character" w:customStyle="1" w:styleId="32">
    <w:name w:val="标题 3 Char"/>
    <w:basedOn w:val="27"/>
    <w:link w:val="4"/>
    <w:qFormat/>
    <w:locked/>
    <w:uiPriority w:val="99"/>
    <w:rPr>
      <w:rFonts w:ascii="Cambria" w:hAnsi="Cambria" w:eastAsia="宋体" w:cs="Times New Roman"/>
      <w:b/>
      <w:bCs/>
      <w:kern w:val="0"/>
      <w:sz w:val="26"/>
      <w:szCs w:val="26"/>
    </w:rPr>
  </w:style>
  <w:style w:type="character" w:customStyle="1" w:styleId="33">
    <w:name w:val="标题 4 Char"/>
    <w:basedOn w:val="27"/>
    <w:link w:val="5"/>
    <w:qFormat/>
    <w:locked/>
    <w:uiPriority w:val="99"/>
    <w:rPr>
      <w:rFonts w:ascii="Cambria" w:hAnsi="Cambria" w:eastAsia="宋体" w:cs="Times New Roman"/>
      <w:b/>
      <w:bCs/>
      <w:kern w:val="2"/>
      <w:sz w:val="28"/>
      <w:szCs w:val="28"/>
    </w:rPr>
  </w:style>
  <w:style w:type="character" w:customStyle="1" w:styleId="34">
    <w:name w:val="标题 5 Char"/>
    <w:basedOn w:val="27"/>
    <w:link w:val="6"/>
    <w:qFormat/>
    <w:locked/>
    <w:uiPriority w:val="99"/>
    <w:rPr>
      <w:rFonts w:ascii="宋体" w:hAnsi="宋体" w:eastAsia="宋体" w:cs="Times New Roman"/>
      <w:b/>
      <w:bCs/>
      <w:i/>
      <w:iCs/>
      <w:kern w:val="0"/>
      <w:sz w:val="26"/>
      <w:szCs w:val="26"/>
    </w:rPr>
  </w:style>
  <w:style w:type="character" w:customStyle="1" w:styleId="35">
    <w:name w:val="批注文字 Char"/>
    <w:basedOn w:val="27"/>
    <w:link w:val="8"/>
    <w:qFormat/>
    <w:locked/>
    <w:uiPriority w:val="99"/>
    <w:rPr>
      <w:rFonts w:ascii="Times New Roman" w:hAnsi="Times New Roman" w:eastAsia="宋体" w:cs="Times New Roman"/>
      <w:kern w:val="2"/>
      <w:sz w:val="24"/>
      <w:szCs w:val="24"/>
    </w:rPr>
  </w:style>
  <w:style w:type="character" w:customStyle="1" w:styleId="36">
    <w:name w:val="正文文本缩进 Char"/>
    <w:basedOn w:val="27"/>
    <w:link w:val="10"/>
    <w:qFormat/>
    <w:locked/>
    <w:uiPriority w:val="99"/>
    <w:rPr>
      <w:rFonts w:ascii="Times New Roman" w:hAnsi="Times New Roman" w:cs="Times New Roman"/>
      <w:kern w:val="2"/>
      <w:sz w:val="24"/>
      <w:szCs w:val="24"/>
    </w:rPr>
  </w:style>
  <w:style w:type="character" w:customStyle="1" w:styleId="37">
    <w:name w:val="纯文本 Char1"/>
    <w:basedOn w:val="27"/>
    <w:link w:val="13"/>
    <w:qFormat/>
    <w:locked/>
    <w:uiPriority w:val="99"/>
    <w:rPr>
      <w:rFonts w:ascii="宋体" w:hAnsi="Courier New" w:cs="Times New Roman"/>
      <w:kern w:val="2"/>
      <w:sz w:val="21"/>
    </w:rPr>
  </w:style>
  <w:style w:type="character" w:customStyle="1" w:styleId="38">
    <w:name w:val="日期 Char"/>
    <w:basedOn w:val="27"/>
    <w:link w:val="14"/>
    <w:qFormat/>
    <w:locked/>
    <w:uiPriority w:val="99"/>
    <w:rPr>
      <w:rFonts w:ascii="Times New Roman" w:hAnsi="Times New Roman" w:eastAsia="宋体" w:cs="Times New Roman"/>
      <w:sz w:val="24"/>
      <w:szCs w:val="24"/>
    </w:rPr>
  </w:style>
  <w:style w:type="character" w:customStyle="1" w:styleId="39">
    <w:name w:val="正文文本缩进 2 Char"/>
    <w:basedOn w:val="27"/>
    <w:link w:val="15"/>
    <w:qFormat/>
    <w:locked/>
    <w:uiPriority w:val="99"/>
    <w:rPr>
      <w:rFonts w:ascii="Times New Roman" w:hAnsi="Times New Roman" w:cs="Times New Roman"/>
      <w:kern w:val="2"/>
      <w:sz w:val="24"/>
      <w:szCs w:val="24"/>
    </w:rPr>
  </w:style>
  <w:style w:type="character" w:customStyle="1" w:styleId="40">
    <w:name w:val="批注框文本 Char"/>
    <w:basedOn w:val="27"/>
    <w:link w:val="16"/>
    <w:semiHidden/>
    <w:qFormat/>
    <w:locked/>
    <w:uiPriority w:val="99"/>
    <w:rPr>
      <w:rFonts w:ascii="Times New Roman" w:hAnsi="Times New Roman" w:eastAsia="宋体" w:cs="Times New Roman"/>
      <w:kern w:val="2"/>
      <w:sz w:val="18"/>
      <w:szCs w:val="18"/>
    </w:rPr>
  </w:style>
  <w:style w:type="character" w:customStyle="1" w:styleId="41">
    <w:name w:val="页脚 Char"/>
    <w:basedOn w:val="27"/>
    <w:link w:val="17"/>
    <w:qFormat/>
    <w:locked/>
    <w:uiPriority w:val="99"/>
    <w:rPr>
      <w:rFonts w:cs="Times New Roman"/>
      <w:sz w:val="18"/>
      <w:szCs w:val="18"/>
    </w:rPr>
  </w:style>
  <w:style w:type="character" w:customStyle="1" w:styleId="42">
    <w:name w:val="页眉 Char"/>
    <w:basedOn w:val="27"/>
    <w:link w:val="18"/>
    <w:semiHidden/>
    <w:qFormat/>
    <w:locked/>
    <w:uiPriority w:val="99"/>
    <w:rPr>
      <w:rFonts w:cs="Times New Roman"/>
      <w:sz w:val="18"/>
      <w:szCs w:val="18"/>
    </w:rPr>
  </w:style>
  <w:style w:type="character" w:customStyle="1" w:styleId="43">
    <w:name w:val="标题 Char"/>
    <w:basedOn w:val="27"/>
    <w:link w:val="23"/>
    <w:qFormat/>
    <w:locked/>
    <w:uiPriority w:val="99"/>
    <w:rPr>
      <w:rFonts w:ascii="Cambria" w:hAnsi="Cambria" w:cs="Times New Roman"/>
      <w:b/>
      <w:bCs/>
      <w:kern w:val="2"/>
      <w:sz w:val="32"/>
      <w:szCs w:val="32"/>
    </w:rPr>
  </w:style>
  <w:style w:type="paragraph" w:customStyle="1" w:styleId="44">
    <w:name w:val="Char Char Char"/>
    <w:basedOn w:val="1"/>
    <w:qFormat/>
    <w:uiPriority w:val="99"/>
    <w:rPr>
      <w:rFonts w:ascii="Tahoma" w:hAnsi="Tahoma"/>
      <w:sz w:val="24"/>
      <w:szCs w:val="20"/>
    </w:rPr>
  </w:style>
  <w:style w:type="paragraph" w:customStyle="1" w:styleId="45">
    <w:name w:val="列出段落1"/>
    <w:basedOn w:val="1"/>
    <w:link w:val="47"/>
    <w:qFormat/>
    <w:uiPriority w:val="99"/>
    <w:pPr>
      <w:ind w:firstLine="420" w:firstLineChars="200"/>
    </w:pPr>
    <w:rPr>
      <w:kern w:val="0"/>
      <w:sz w:val="24"/>
      <w:szCs w:val="20"/>
    </w:rPr>
  </w:style>
  <w:style w:type="character" w:customStyle="1" w:styleId="46">
    <w:name w:val="正文缩进 Char"/>
    <w:link w:val="7"/>
    <w:qFormat/>
    <w:locked/>
    <w:uiPriority w:val="99"/>
    <w:rPr>
      <w:rFonts w:eastAsia="宋体"/>
    </w:rPr>
  </w:style>
  <w:style w:type="character" w:customStyle="1" w:styleId="47">
    <w:name w:val="列出段落 Char"/>
    <w:link w:val="45"/>
    <w:qFormat/>
    <w:locked/>
    <w:uiPriority w:val="99"/>
    <w:rPr>
      <w:rFonts w:ascii="Times New Roman" w:hAnsi="Times New Roman" w:eastAsia="宋体"/>
      <w:sz w:val="24"/>
    </w:rPr>
  </w:style>
  <w:style w:type="paragraph" w:customStyle="1" w:styleId="48">
    <w:name w:val="正文-带编号1)"/>
    <w:basedOn w:val="1"/>
    <w:qFormat/>
    <w:uiPriority w:val="99"/>
    <w:pPr>
      <w:spacing w:line="400" w:lineRule="exact"/>
    </w:pPr>
    <w:rPr>
      <w:rFonts w:ascii="Arial" w:hAnsi="Arial"/>
    </w:rPr>
  </w:style>
  <w:style w:type="paragraph" w:customStyle="1" w:styleId="49">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50">
    <w:name w:val="D&amp;L"/>
    <w:basedOn w:val="18"/>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51">
    <w:name w:val="Char Char Char Char Char Char Char1 Char"/>
    <w:basedOn w:val="1"/>
    <w:qFormat/>
    <w:uiPriority w:val="99"/>
    <w:rPr>
      <w:rFonts w:ascii="Tahoma" w:hAnsi="Tahoma"/>
      <w:sz w:val="24"/>
      <w:szCs w:val="20"/>
    </w:rPr>
  </w:style>
  <w:style w:type="paragraph" w:styleId="52">
    <w:name w:val="List Paragraph"/>
    <w:basedOn w:val="1"/>
    <w:qFormat/>
    <w:uiPriority w:val="34"/>
    <w:pPr>
      <w:ind w:firstLine="420" w:firstLineChars="200"/>
    </w:pPr>
    <w:rPr>
      <w:rFonts w:ascii="Calibri" w:hAnsi="Calibri"/>
      <w:szCs w:val="22"/>
    </w:rPr>
  </w:style>
  <w:style w:type="paragraph" w:customStyle="1" w:styleId="53">
    <w:name w:val="正文_0"/>
    <w:qFormat/>
    <w:uiPriority w:val="99"/>
    <w:pPr>
      <w:widowControl w:val="0"/>
      <w:jc w:val="both"/>
    </w:pPr>
    <w:rPr>
      <w:rFonts w:ascii="Tahoma" w:hAnsi="Tahoma" w:eastAsia="宋体" w:cs="Tahoma"/>
      <w:kern w:val="2"/>
      <w:sz w:val="21"/>
      <w:szCs w:val="22"/>
      <w:lang w:val="en-US" w:eastAsia="zh-CN" w:bidi="ar-SA"/>
    </w:rPr>
  </w:style>
  <w:style w:type="paragraph" w:customStyle="1" w:styleId="54">
    <w:name w:val="TOC 标题1"/>
    <w:basedOn w:val="2"/>
    <w:next w:val="1"/>
    <w:semiHidden/>
    <w:qFormat/>
    <w:uiPriority w:val="99"/>
    <w:pPr>
      <w:keepLines/>
      <w:numPr>
        <w:numId w:val="0"/>
      </w:numPr>
      <w:spacing w:before="480" w:line="276" w:lineRule="auto"/>
      <w:outlineLvl w:val="9"/>
    </w:pPr>
    <w:rPr>
      <w:rFonts w:eastAsia="宋体"/>
      <w:color w:val="365F91"/>
      <w:kern w:val="0"/>
      <w:sz w:val="28"/>
      <w:szCs w:val="28"/>
    </w:rPr>
  </w:style>
  <w:style w:type="character" w:customStyle="1" w:styleId="55">
    <w:name w:val="纯文本 Char"/>
    <w:basedOn w:val="27"/>
    <w:semiHidden/>
    <w:qFormat/>
    <w:uiPriority w:val="99"/>
    <w:rPr>
      <w:rFonts w:ascii="宋体" w:hAnsi="Courier New" w:cs="Courier New"/>
      <w:kern w:val="2"/>
      <w:sz w:val="21"/>
      <w:szCs w:val="21"/>
    </w:rPr>
  </w:style>
  <w:style w:type="paragraph" w:customStyle="1" w:styleId="56">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57">
    <w:name w:val="项目正文"/>
    <w:basedOn w:val="1"/>
    <w:qFormat/>
    <w:uiPriority w:val="99"/>
    <w:pPr>
      <w:ind w:firstLine="482"/>
    </w:pPr>
  </w:style>
  <w:style w:type="character" w:customStyle="1" w:styleId="58">
    <w:name w:val="批注主题 Char"/>
    <w:basedOn w:val="35"/>
    <w:link w:val="24"/>
    <w:qFormat/>
    <w:locked/>
    <w:uiPriority w:val="99"/>
    <w:rPr>
      <w:rFonts w:ascii="Times New Roman" w:hAnsi="Times New Roman" w:eastAsia="宋体" w:cs="Times New Roman"/>
      <w:kern w:val="2"/>
      <w:sz w:val="24"/>
      <w:szCs w:val="24"/>
    </w:rPr>
  </w:style>
  <w:style w:type="character" w:customStyle="1" w:styleId="59">
    <w:name w:val="font101"/>
    <w:basedOn w:val="27"/>
    <w:qFormat/>
    <w:uiPriority w:val="99"/>
    <w:rPr>
      <w:rFonts w:ascii="宋体" w:hAnsi="宋体" w:eastAsia="宋体" w:cs="宋体"/>
      <w:b/>
      <w:color w:val="000000"/>
      <w:sz w:val="20"/>
      <w:szCs w:val="20"/>
      <w:u w:val="none"/>
    </w:rPr>
  </w:style>
  <w:style w:type="character" w:customStyle="1" w:styleId="60">
    <w:name w:val="font111"/>
    <w:basedOn w:val="27"/>
    <w:qFormat/>
    <w:uiPriority w:val="99"/>
    <w:rPr>
      <w:rFonts w:ascii="宋体" w:hAnsi="宋体" w:eastAsia="宋体" w:cs="宋体"/>
      <w:color w:val="000000"/>
      <w:sz w:val="20"/>
      <w:szCs w:val="20"/>
      <w:u w:val="none"/>
    </w:rPr>
  </w:style>
  <w:style w:type="character" w:customStyle="1" w:styleId="61">
    <w:name w:val="font181"/>
    <w:basedOn w:val="27"/>
    <w:qFormat/>
    <w:uiPriority w:val="99"/>
    <w:rPr>
      <w:rFonts w:ascii="宋体" w:hAnsi="宋体" w:eastAsia="宋体" w:cs="宋体"/>
      <w:color w:val="FF0000"/>
      <w:sz w:val="20"/>
      <w:szCs w:val="20"/>
      <w:u w:val="none"/>
    </w:rPr>
  </w:style>
  <w:style w:type="character" w:customStyle="1" w:styleId="62">
    <w:name w:val="font12"/>
    <w:basedOn w:val="27"/>
    <w:qFormat/>
    <w:uiPriority w:val="99"/>
    <w:rPr>
      <w:rFonts w:ascii="宋体" w:hAnsi="宋体" w:eastAsia="宋体" w:cs="宋体"/>
      <w:color w:val="000000"/>
      <w:sz w:val="22"/>
      <w:szCs w:val="22"/>
      <w:u w:val="none"/>
    </w:rPr>
  </w:style>
  <w:style w:type="character" w:customStyle="1" w:styleId="63">
    <w:name w:val="font161"/>
    <w:basedOn w:val="27"/>
    <w:qFormat/>
    <w:uiPriority w:val="99"/>
    <w:rPr>
      <w:rFonts w:ascii="宋体" w:hAnsi="宋体" w:eastAsia="宋体" w:cs="宋体"/>
      <w:color w:val="000000"/>
      <w:sz w:val="22"/>
      <w:szCs w:val="22"/>
      <w:u w:val="none"/>
    </w:rPr>
  </w:style>
  <w:style w:type="character" w:customStyle="1" w:styleId="64">
    <w:name w:val="font51"/>
    <w:basedOn w:val="27"/>
    <w:qFormat/>
    <w:uiPriority w:val="99"/>
    <w:rPr>
      <w:rFonts w:ascii="宋体" w:hAnsi="宋体" w:eastAsia="宋体" w:cs="宋体"/>
      <w:b/>
      <w:color w:val="000000"/>
      <w:sz w:val="20"/>
      <w:szCs w:val="20"/>
      <w:u w:val="none"/>
    </w:rPr>
  </w:style>
  <w:style w:type="character" w:customStyle="1" w:styleId="65">
    <w:name w:val="font122"/>
    <w:basedOn w:val="27"/>
    <w:qFormat/>
    <w:uiPriority w:val="99"/>
    <w:rPr>
      <w:rFonts w:ascii="宋体" w:hAnsi="宋体" w:eastAsia="宋体" w:cs="宋体"/>
      <w:color w:val="000000"/>
      <w:sz w:val="22"/>
      <w:szCs w:val="22"/>
      <w:u w:val="none"/>
    </w:rPr>
  </w:style>
  <w:style w:type="character" w:customStyle="1" w:styleId="66">
    <w:name w:val="正文文本 Char"/>
    <w:basedOn w:val="27"/>
    <w:link w:val="9"/>
    <w:qFormat/>
    <w:locked/>
    <w:uiPriority w:val="99"/>
    <w:rPr>
      <w:rFonts w:ascii="Times New Roman" w:hAnsi="Times New Roman" w:eastAsia="宋体" w:cs="Times New Roman"/>
      <w:sz w:val="24"/>
      <w:szCs w:val="24"/>
    </w:rPr>
  </w:style>
  <w:style w:type="paragraph" w:customStyle="1" w:styleId="67">
    <w:name w:val="TOC 标题2"/>
    <w:basedOn w:val="2"/>
    <w:next w:val="1"/>
    <w:unhideWhenUsed/>
    <w:qFormat/>
    <w:uiPriority w:val="39"/>
    <w:pPr>
      <w:keepLines/>
      <w:numPr>
        <w:numId w:val="0"/>
      </w:numPr>
      <w:spacing w:before="240" w:line="259" w:lineRule="auto"/>
      <w:jc w:val="left"/>
      <w:outlineLvl w:val="9"/>
    </w:pPr>
    <w:rPr>
      <w:rFonts w:asciiTheme="majorHAnsi" w:hAnsiTheme="majorHAnsi" w:eastAsiaTheme="majorEastAsia" w:cstheme="majorBidi"/>
      <w:b w:val="0"/>
      <w:bCs w:val="0"/>
      <w:color w:val="366091" w:themeColor="accent1" w:themeShade="BF"/>
      <w:kern w:val="0"/>
    </w:rPr>
  </w:style>
  <w:style w:type="character" w:customStyle="1" w:styleId="68">
    <w:name w:val="apple-converted-space"/>
    <w:basedOn w:val="27"/>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F2311C-58CA-47EF-903B-3830F669D1F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3696</Words>
  <Characters>21068</Characters>
  <Lines>175</Lines>
  <Paragraphs>49</Paragraphs>
  <TotalTime>5</TotalTime>
  <ScaleCrop>false</ScaleCrop>
  <LinksUpToDate>false</LinksUpToDate>
  <CharactersWithSpaces>24715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2019-07-18T03:38:00Z</dcterms:created>
  <dc:creator>WG</dc:creator>
  <cp:lastModifiedBy>着迷</cp:lastModifiedBy>
  <cp:lastPrinted>2017-08-02T01:30:00Z</cp:lastPrinted>
  <dcterms:modified xsi:type="dcterms:W3CDTF">2019-11-27T02:39:34Z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