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百大奥莱</w:t>
      </w:r>
      <w:r>
        <w:rPr>
          <w:rFonts w:hint="eastAsia" w:ascii="宋体" w:hAnsi="宋体" w:cs="宋体"/>
          <w:b/>
          <w:color w:val="000000"/>
          <w:kern w:val="0"/>
          <w:sz w:val="44"/>
          <w:szCs w:val="44"/>
          <w:lang w:eastAsia="zh-CN"/>
        </w:rPr>
        <w:t>生活广场</w:t>
      </w:r>
      <w:r>
        <w:rPr>
          <w:rFonts w:hint="eastAsia" w:ascii="宋体" w:hAnsi="宋体" w:cs="宋体"/>
          <w:b/>
          <w:color w:val="000000"/>
          <w:kern w:val="0"/>
          <w:sz w:val="44"/>
          <w:szCs w:val="44"/>
        </w:rPr>
        <w:t>内装饰等工程结算审计</w:t>
      </w: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default" w:ascii="宋体" w:hAnsi="宋体" w:eastAsia="宋体" w:cs="宋体"/>
          <w:b/>
          <w:color w:val="000000"/>
          <w:kern w:val="0"/>
          <w:sz w:val="44"/>
          <w:szCs w:val="44"/>
          <w:lang w:val="en-US" w:eastAsia="zh-CN"/>
        </w:rPr>
      </w:pPr>
      <w:r>
        <w:rPr>
          <w:rFonts w:hint="eastAsia" w:ascii="宋体" w:hAnsi="宋体" w:cs="宋体"/>
          <w:b/>
          <w:color w:val="000000"/>
          <w:kern w:val="0"/>
          <w:sz w:val="44"/>
          <w:szCs w:val="44"/>
        </w:rPr>
        <w:t>造价咨询</w:t>
      </w:r>
      <w:r>
        <w:rPr>
          <w:rFonts w:hint="eastAsia" w:ascii="宋体" w:hAnsi="宋体" w:cs="宋体"/>
          <w:b/>
          <w:color w:val="000000"/>
          <w:kern w:val="0"/>
          <w:sz w:val="44"/>
          <w:szCs w:val="44"/>
          <w:lang w:eastAsia="zh-CN"/>
        </w:rPr>
        <w:t>服务</w:t>
      </w:r>
      <w:r>
        <w:rPr>
          <w:rFonts w:hint="eastAsia" w:ascii="宋体" w:hAnsi="宋体" w:cs="宋体"/>
          <w:b/>
          <w:color w:val="000000"/>
          <w:kern w:val="0"/>
          <w:sz w:val="44"/>
          <w:szCs w:val="44"/>
          <w:lang w:val="en-US" w:eastAsia="zh-CN"/>
        </w:rPr>
        <w:t>(三次)</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32"/>
          <w:szCs w:val="32"/>
          <w:lang w:val="en-US" w:eastAsia="zh-CN"/>
        </w:rPr>
        <w:t>HBZ-19139-AL02</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二〇一九年十</w:t>
      </w:r>
      <w:r>
        <w:rPr>
          <w:rFonts w:hint="eastAsia" w:ascii="宋体" w:hAnsi="宋体" w:cs="宋体"/>
          <w:color w:val="000000"/>
          <w:kern w:val="0"/>
          <w:sz w:val="30"/>
          <w:szCs w:val="30"/>
          <w:lang w:eastAsia="zh-CN"/>
        </w:rPr>
        <w:t>一</w:t>
      </w:r>
      <w:r>
        <w:rPr>
          <w:rFonts w:hint="eastAsia" w:ascii="宋体" w:hAnsi="宋体" w:cs="宋体"/>
          <w:color w:val="000000"/>
          <w:kern w:val="0"/>
          <w:sz w:val="30"/>
          <w:szCs w:val="30"/>
        </w:rPr>
        <w:t>月</w:t>
      </w:r>
    </w:p>
    <w:p>
      <w:pPr>
        <w:widowControl/>
        <w:spacing w:line="520" w:lineRule="exact"/>
        <w:jc w:val="center"/>
        <w:rPr>
          <w:rFonts w:ascii="宋体" w:hAnsi="宋体" w:cs="宋体"/>
          <w:color w:val="000000"/>
          <w:kern w:val="0"/>
          <w:sz w:val="30"/>
          <w:szCs w:val="30"/>
        </w:rPr>
      </w:pPr>
    </w:p>
    <w:p>
      <w:pPr>
        <w:widowControl/>
        <w:numPr>
          <w:ilvl w:val="0"/>
          <w:numId w:val="1"/>
        </w:numPr>
        <w:spacing w:line="60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投标邀请</w:t>
      </w:r>
    </w:p>
    <w:p>
      <w:pPr>
        <w:widowControl/>
        <w:numPr>
          <w:ilvl w:val="0"/>
          <w:numId w:val="0"/>
        </w:numPr>
        <w:spacing w:line="600" w:lineRule="exact"/>
        <w:jc w:val="both"/>
        <w:rPr>
          <w:rFonts w:hint="eastAsia" w:ascii="宋体" w:hAnsi="宋体" w:cs="宋体"/>
          <w:b/>
          <w:color w:val="000000"/>
          <w:kern w:val="0"/>
          <w:sz w:val="32"/>
          <w:szCs w:val="32"/>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w:t>
      </w:r>
      <w:r>
        <w:rPr>
          <w:rFonts w:hint="eastAsia" w:ascii="宋体" w:hAnsi="宋体" w:cs="宋体"/>
          <w:color w:val="000000"/>
          <w:kern w:val="0"/>
          <w:sz w:val="24"/>
          <w:lang w:val="en-US" w:eastAsia="zh-CN"/>
        </w:rPr>
        <w:t>三次</w:t>
      </w:r>
      <w:r>
        <w:rPr>
          <w:rFonts w:hint="eastAsia" w:ascii="宋体" w:hAnsi="宋体" w:cs="宋体"/>
          <w:color w:val="000000"/>
          <w:kern w:val="0"/>
          <w:sz w:val="24"/>
          <w:lang w:eastAsia="zh-CN"/>
        </w:rPr>
        <w:t>）</w:t>
      </w:r>
      <w:r>
        <w:rPr>
          <w:rFonts w:hint="eastAsia" w:ascii="宋体" w:hAnsi="宋体" w:cs="宋体"/>
          <w:kern w:val="0"/>
          <w:sz w:val="24"/>
        </w:rPr>
        <w:t>现面向社会公开招标，诚邀具有相关资质的单位参与投标。</w:t>
      </w:r>
    </w:p>
    <w:p>
      <w:pPr>
        <w:keepNext w:val="0"/>
        <w:keepLines w:val="0"/>
        <w:pageBreakBefore w:val="0"/>
        <w:widowControl/>
        <w:kinsoku/>
        <w:wordWrap/>
        <w:overflowPunct/>
        <w:topLinePunct w:val="0"/>
        <w:bidi w:val="0"/>
        <w:snapToGrid/>
        <w:spacing w:line="500" w:lineRule="exact"/>
        <w:ind w:firstLine="108" w:firstLineChars="49"/>
        <w:jc w:val="left"/>
        <w:textAlignment w:val="auto"/>
        <w:rPr>
          <w:rFonts w:ascii="宋体" w:cs="宋体"/>
          <w:b/>
          <w:kern w:val="0"/>
          <w:sz w:val="24"/>
        </w:rPr>
      </w:pPr>
      <w:r>
        <w:rPr>
          <w:rFonts w:hint="eastAsia" w:ascii="宋体" w:hAnsi="宋体" w:cs="宋体"/>
          <w:b/>
          <w:spacing w:val="-10"/>
          <w:kern w:val="0"/>
          <w:sz w:val="24"/>
        </w:rPr>
        <w:t>一、</w:t>
      </w:r>
      <w:r>
        <w:rPr>
          <w:rFonts w:hint="eastAsia" w:ascii="宋体" w:hAnsi="宋体" w:cs="宋体"/>
          <w:b/>
          <w:kern w:val="0"/>
          <w:sz w:val="24"/>
        </w:rPr>
        <w:t>招标简介</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cs="宋体"/>
          <w:color w:val="000000"/>
          <w:kern w:val="0"/>
          <w:sz w:val="24"/>
          <w:lang w:eastAsia="zh-CN"/>
        </w:rPr>
      </w:pPr>
      <w:r>
        <w:rPr>
          <w:rFonts w:ascii="宋体" w:hAnsi="宋体" w:cs="宋体"/>
          <w:kern w:val="0"/>
          <w:sz w:val="24"/>
        </w:rPr>
        <w:t>1.</w:t>
      </w:r>
      <w:r>
        <w:rPr>
          <w:rFonts w:hint="eastAsia" w:ascii="宋体" w:hAnsi="宋体" w:cs="宋体"/>
          <w:kern w:val="0"/>
          <w:sz w:val="24"/>
        </w:rPr>
        <w:t>项目名称：</w:t>
      </w: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w:t>
      </w:r>
      <w:r>
        <w:rPr>
          <w:rFonts w:hint="eastAsia" w:ascii="宋体" w:hAnsi="宋体" w:cs="宋体"/>
          <w:color w:val="000000"/>
          <w:kern w:val="0"/>
          <w:sz w:val="24"/>
          <w:lang w:val="en-US" w:eastAsia="zh-CN"/>
        </w:rPr>
        <w:t>三次</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项目编号：</w:t>
      </w:r>
      <w:r>
        <w:rPr>
          <w:rFonts w:hint="eastAsia" w:ascii="宋体" w:hAnsi="宋体" w:cs="宋体"/>
          <w:color w:val="000000"/>
          <w:kern w:val="0"/>
          <w:sz w:val="24"/>
          <w:lang w:val="en-US" w:eastAsia="zh-CN"/>
        </w:rPr>
        <w:t>HBZ-19139-AL02</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Ansi="宋体" w:cs="宋体"/>
          <w:kern w:val="0"/>
          <w:sz w:val="24"/>
        </w:rPr>
      </w:pP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招标范围：</w:t>
      </w:r>
      <w:r>
        <w:rPr>
          <w:rFonts w:hint="eastAsia" w:ascii="宋体" w:hAnsi="宋体" w:cs="宋体"/>
          <w:color w:val="000000"/>
          <w:kern w:val="0"/>
          <w:sz w:val="24"/>
        </w:rPr>
        <w:t>工程结算审计金额约2000万元,</w:t>
      </w:r>
      <w:r>
        <w:rPr>
          <w:rFonts w:hint="eastAsia" w:ascii="宋体" w:hAnsi="宋体" w:cs="宋体"/>
          <w:color w:val="000000" w:themeColor="text1"/>
          <w:kern w:val="0"/>
          <w:sz w:val="24"/>
          <w14:textFill>
            <w14:solidFill>
              <w14:schemeClr w14:val="tx1"/>
            </w14:solidFill>
          </w14:textFill>
        </w:rPr>
        <w:t>主要为</w:t>
      </w:r>
      <w:r>
        <w:rPr>
          <w:rFonts w:hint="eastAsia" w:hAnsi="宋体" w:cs="宋体"/>
          <w:kern w:val="0"/>
          <w:sz w:val="24"/>
        </w:rPr>
        <w:t>内装饰及土建（含消防）改造</w:t>
      </w:r>
      <w:r>
        <w:rPr>
          <w:rFonts w:hint="eastAsia" w:ascii="宋体" w:hAnsi="宋体" w:cs="宋体"/>
          <w:kern w:val="0"/>
          <w:sz w:val="24"/>
        </w:rPr>
        <w:t>等工程</w:t>
      </w:r>
      <w:r>
        <w:rPr>
          <w:rFonts w:hint="eastAsia" w:ascii="宋体" w:hAnsi="宋体" w:cs="宋体"/>
          <w:color w:val="000000" w:themeColor="text1"/>
          <w:kern w:val="0"/>
          <w:sz w:val="24"/>
          <w14:textFill>
            <w14:solidFill>
              <w14:schemeClr w14:val="tx1"/>
            </w14:solidFill>
          </w14:textFill>
        </w:rPr>
        <w:t>结算</w:t>
      </w:r>
      <w:r>
        <w:rPr>
          <w:rFonts w:ascii="宋体" w:hAnsi="宋体" w:cs="宋体"/>
          <w:color w:val="000000" w:themeColor="text1"/>
          <w:kern w:val="0"/>
          <w:sz w:val="24"/>
          <w14:textFill>
            <w14:solidFill>
              <w14:schemeClr w14:val="tx1"/>
            </w14:solidFill>
          </w14:textFill>
        </w:rPr>
        <w:t>审核。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.项目概算</w:t>
      </w:r>
      <w:r>
        <w:rPr>
          <w:rFonts w:hint="eastAsia" w:ascii="宋体" w:hAnsi="宋体" w:cs="宋体"/>
          <w:kern w:val="0"/>
          <w:sz w:val="24"/>
        </w:rPr>
        <w:t>：</w:t>
      </w:r>
      <w:r>
        <w:rPr>
          <w:rFonts w:hint="eastAsia" w:ascii="宋体" w:hAnsi="宋体" w:cs="宋体"/>
          <w:kern w:val="0"/>
          <w:sz w:val="24"/>
          <w:lang w:val="en-US" w:eastAsia="zh-CN"/>
        </w:rPr>
        <w:t>67800元</w:t>
      </w:r>
    </w:p>
    <w:p>
      <w:pPr>
        <w:keepNext w:val="0"/>
        <w:keepLines w:val="0"/>
        <w:pageBreakBefore w:val="0"/>
        <w:widowControl/>
        <w:kinsoku/>
        <w:wordWrap/>
        <w:overflowPunct/>
        <w:topLinePunct w:val="0"/>
        <w:bidi w:val="0"/>
        <w:snapToGrid/>
        <w:spacing w:line="500" w:lineRule="exact"/>
        <w:ind w:firstLine="120" w:firstLineChars="50"/>
        <w:jc w:val="left"/>
        <w:textAlignment w:val="auto"/>
        <w:rPr>
          <w:b/>
          <w:sz w:val="24"/>
        </w:rPr>
      </w:pPr>
      <w:r>
        <w:rPr>
          <w:rFonts w:hint="eastAsia" w:ascii="宋体" w:hAnsi="宋体" w:cs="宋体"/>
          <w:b/>
          <w:kern w:val="0"/>
          <w:sz w:val="24"/>
        </w:rPr>
        <w:t>二、</w:t>
      </w:r>
      <w:r>
        <w:rPr>
          <w:rFonts w:hint="eastAsia"/>
          <w:b/>
          <w:sz w:val="24"/>
        </w:rPr>
        <w:t>标书领取日期及方法</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1.领取日期：2019年1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\t "_blank"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下载标书（下载标书的投标单位应按招标文件要求时间参加资格预审）</w:t>
      </w:r>
    </w:p>
    <w:p>
      <w:pPr>
        <w:pStyle w:val="22"/>
        <w:keepNext w:val="0"/>
        <w:keepLines w:val="0"/>
        <w:pageBreakBefore w:val="0"/>
        <w:kinsoku/>
        <w:wordWrap/>
        <w:overflowPunct/>
        <w:topLinePunct w:val="0"/>
        <w:bidi w:val="0"/>
        <w:snapToGrid/>
        <w:spacing w:line="500" w:lineRule="exact"/>
        <w:jc w:val="left"/>
        <w:textAlignment w:val="auto"/>
        <w:rPr>
          <w:rFonts w:ascii="宋体" w:hAnsi="宋体"/>
          <w:b/>
          <w:bCs/>
          <w:sz w:val="24"/>
        </w:rPr>
      </w:pPr>
      <w:r>
        <w:rPr>
          <w:rFonts w:hint="eastAsia" w:ascii="宋体" w:hAnsi="宋体" w:cs="宋体"/>
          <w:b/>
          <w:sz w:val="24"/>
        </w:rPr>
        <w:t>三、</w:t>
      </w:r>
      <w:r>
        <w:rPr>
          <w:rFonts w:hint="eastAsia" w:ascii="宋体" w:hAnsi="宋体"/>
          <w:b/>
          <w:bCs/>
          <w:sz w:val="24"/>
        </w:rPr>
        <w:t xml:space="preserve"> 资格预审时间</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ascii="宋体" w:hAnsi="宋体"/>
          <w:sz w:val="24"/>
        </w:rPr>
        <w:t>201</w:t>
      </w:r>
      <w:r>
        <w:rPr>
          <w:rFonts w:hint="eastAsia" w:ascii="宋体" w:hAnsi="宋体"/>
          <w:sz w:val="24"/>
        </w:rPr>
        <w:t>9</w:t>
      </w:r>
      <w:r>
        <w:rPr>
          <w:rFonts w:ascii="宋体" w:hAnsi="宋体"/>
          <w:sz w:val="24"/>
        </w:rPr>
        <w:t>年</w:t>
      </w:r>
      <w:r>
        <w:rPr>
          <w:rFonts w:hint="eastAsia" w:ascii="宋体" w:hAnsi="宋体"/>
          <w:sz w:val="24"/>
        </w:rPr>
        <w:t>1</w:t>
      </w:r>
      <w:r>
        <w:rPr>
          <w:rFonts w:hint="eastAsia" w:ascii="宋体" w:hAnsi="宋体"/>
          <w:sz w:val="24"/>
          <w:lang w:val="en-US" w:eastAsia="zh-CN"/>
        </w:rPr>
        <w:t>1</w:t>
      </w:r>
      <w:r>
        <w:rPr>
          <w:rFonts w:ascii="宋体" w:hAnsi="宋体"/>
          <w:sz w:val="24"/>
        </w:rPr>
        <w:t>月</w:t>
      </w:r>
      <w:r>
        <w:rPr>
          <w:rFonts w:hint="eastAsia" w:ascii="宋体" w:hAnsi="宋体"/>
          <w:sz w:val="24"/>
          <w:lang w:val="en-US" w:eastAsia="zh-CN"/>
        </w:rPr>
        <w:t>26</w:t>
      </w:r>
      <w:r>
        <w:rPr>
          <w:rFonts w:ascii="宋体" w:hAnsi="宋体"/>
          <w:sz w:val="24"/>
        </w:rPr>
        <w:t>日前</w:t>
      </w:r>
      <w:r>
        <w:rPr>
          <w:rFonts w:hint="eastAsia" w:ascii="宋体" w:hAnsi="宋体"/>
          <w:sz w:val="24"/>
        </w:rPr>
        <w:t>（周六下午、周日除外）</w:t>
      </w:r>
      <w:r>
        <w:rPr>
          <w:rFonts w:ascii="宋体" w:hAnsi="宋体"/>
          <w:sz w:val="24"/>
        </w:rPr>
        <w:t>每天9:00-12:00，14:00-17:00</w:t>
      </w:r>
      <w:r>
        <w:rPr>
          <w:rFonts w:hint="eastAsia" w:ascii="宋体" w:hAnsi="宋体"/>
          <w:sz w:val="24"/>
        </w:rPr>
        <w:t>，意向投标人应携带招标文件中要求的相关材料（原件查看，复印件留存）至百大集团招投标管理部（</w:t>
      </w:r>
      <w:r>
        <w:rPr>
          <w:rFonts w:hint="eastAsia" w:ascii="宋体" w:hAnsi="宋体" w:cs="宋体"/>
          <w:sz w:val="24"/>
        </w:rPr>
        <w:t>合肥</w:t>
      </w:r>
      <w:r>
        <w:rPr>
          <w:rFonts w:hint="eastAsia" w:ascii="宋体" w:hAnsi="宋体"/>
          <w:sz w:val="24"/>
        </w:rPr>
        <w:t>市黄山路596号合肥百大集团1206室）接收资格审查，审查合格的投标单位以转账的形式缴纳投标保证金。</w:t>
      </w:r>
    </w:p>
    <w:p>
      <w:pPr>
        <w:pStyle w:val="22"/>
        <w:keepNext w:val="0"/>
        <w:keepLines w:val="0"/>
        <w:pageBreakBefore w:val="0"/>
        <w:kinsoku/>
        <w:wordWrap/>
        <w:overflowPunct/>
        <w:topLinePunct w:val="0"/>
        <w:bidi w:val="0"/>
        <w:snapToGrid/>
        <w:spacing w:line="500" w:lineRule="exact"/>
        <w:jc w:val="left"/>
        <w:textAlignment w:val="auto"/>
        <w:rPr>
          <w:rFonts w:ascii="宋体" w:hAnsi="宋体"/>
          <w:b/>
          <w:sz w:val="24"/>
        </w:rPr>
      </w:pPr>
      <w:r>
        <w:rPr>
          <w:rFonts w:hint="eastAsia" w:ascii="宋体" w:hAnsi="宋体" w:cs="宋体"/>
          <w:b/>
          <w:sz w:val="24"/>
        </w:rPr>
        <w:t>四、</w:t>
      </w:r>
      <w:r>
        <w:rPr>
          <w:rFonts w:hint="eastAsia" w:ascii="宋体" w:hAnsi="宋体"/>
          <w:b/>
          <w:sz w:val="24"/>
        </w:rPr>
        <w:t>投标保证金</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hint="eastAsia" w:ascii="宋体" w:hAnsi="宋体"/>
          <w:sz w:val="24"/>
        </w:rPr>
        <w:t>2019年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26</w:t>
      </w:r>
      <w:r>
        <w:rPr>
          <w:rFonts w:hint="eastAsia" w:ascii="宋体" w:hAnsi="宋体"/>
          <w:sz w:val="24"/>
        </w:rPr>
        <w:t>日16:00前（以实际到账时间为准）通过转账的方式缴纳投标保证金叁仟元整，如中标，该保证金转为履约保证金后待合同履行完毕后无息退还；如未中标，招标结束宣布结果后无息退还。如出现串标、毁标、中标后不签订合同或在履行合同时出现违约行为，招标人有权没收该保证金。</w:t>
      </w:r>
    </w:p>
    <w:p>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名  称：合肥百货大楼集团股份有限公司百大奥莱生活广场  开户行：徽商银行庐阳支行</w:t>
      </w:r>
    </w:p>
    <w:p>
      <w:pPr>
        <w:keepNext w:val="0"/>
        <w:keepLines w:val="0"/>
        <w:pageBreakBefore w:val="0"/>
        <w:widowControl/>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账  号：1022 8010 2100 1168 056  （转帐时请备注“××项目投标保证金”）</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kern w:val="0"/>
          <w:sz w:val="24"/>
        </w:rPr>
      </w:pPr>
      <w:r>
        <w:rPr>
          <w:rFonts w:hint="eastAsia" w:ascii="宋体" w:hAnsi="宋体"/>
          <w:b/>
          <w:kern w:val="0"/>
          <w:sz w:val="24"/>
          <w:szCs w:val="21"/>
        </w:rPr>
        <w:t>五、</w:t>
      </w:r>
      <w:r>
        <w:rPr>
          <w:rFonts w:hint="eastAsia" w:ascii="宋体" w:hAnsi="宋体" w:cs="宋体"/>
          <w:b/>
          <w:kern w:val="0"/>
          <w:sz w:val="24"/>
        </w:rPr>
        <w:t>开标时间：</w:t>
      </w:r>
      <w:r>
        <w:rPr>
          <w:rFonts w:hint="eastAsia" w:ascii="宋体" w:hAnsi="宋体" w:cs="宋体"/>
          <w:kern w:val="0"/>
          <w:sz w:val="24"/>
        </w:rPr>
        <w:t>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0（如有调整，另行通知）</w:t>
      </w:r>
    </w:p>
    <w:p>
      <w:pPr>
        <w:keepNext w:val="0"/>
        <w:keepLines w:val="0"/>
        <w:pageBreakBefore w:val="0"/>
        <w:widowControl/>
        <w:kinsoku/>
        <w:wordWrap/>
        <w:overflowPunct/>
        <w:topLinePunct w:val="0"/>
        <w:bidi w:val="0"/>
        <w:snapToGrid/>
        <w:spacing w:line="500" w:lineRule="exact"/>
        <w:ind w:firstLine="482" w:firstLineChars="200"/>
        <w:jc w:val="left"/>
        <w:textAlignment w:val="auto"/>
        <w:rPr>
          <w:rFonts w:ascii="宋体" w:hAnsi="宋体" w:cs="宋体"/>
          <w:kern w:val="0"/>
          <w:sz w:val="24"/>
        </w:rPr>
      </w:pPr>
      <w:r>
        <w:rPr>
          <w:rFonts w:hint="eastAsia" w:ascii="宋体" w:hAnsi="宋体" w:cs="宋体"/>
          <w:b/>
          <w:bCs/>
          <w:kern w:val="0"/>
          <w:sz w:val="24"/>
        </w:rPr>
        <w:t>开标地点</w:t>
      </w:r>
      <w:r>
        <w:rPr>
          <w:rFonts w:hint="eastAsia" w:ascii="宋体" w:hAnsi="宋体" w:cs="宋体"/>
          <w:color w:val="000000"/>
          <w:kern w:val="0"/>
          <w:sz w:val="24"/>
        </w:rPr>
        <w:t>：</w:t>
      </w:r>
      <w:r>
        <w:rPr>
          <w:rFonts w:ascii="宋体" w:hAnsi="宋体" w:cs="宋体"/>
          <w:kern w:val="0"/>
          <w:sz w:val="24"/>
        </w:rPr>
        <w:t>黄山路596号合肥百大集团1</w:t>
      </w:r>
      <w:r>
        <w:rPr>
          <w:rFonts w:hint="eastAsia" w:ascii="宋体" w:hAnsi="宋体" w:cs="宋体"/>
          <w:kern w:val="0"/>
          <w:sz w:val="24"/>
          <w:lang w:val="en-US" w:eastAsia="zh-CN"/>
        </w:rPr>
        <w:t>209</w:t>
      </w:r>
      <w:r>
        <w:rPr>
          <w:rFonts w:ascii="宋体" w:hAnsi="宋体" w:cs="宋体"/>
          <w:kern w:val="0"/>
          <w:sz w:val="24"/>
        </w:rPr>
        <w:t>室</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spacing w:val="-4"/>
          <w:kern w:val="0"/>
          <w:sz w:val="24"/>
        </w:rPr>
      </w:pPr>
      <w:r>
        <w:rPr>
          <w:rFonts w:hint="eastAsia" w:ascii="宋体" w:hAnsi="宋体" w:cs="宋体"/>
          <w:b/>
          <w:kern w:val="0"/>
          <w:sz w:val="24"/>
        </w:rPr>
        <w:t>六、招标单位：</w:t>
      </w:r>
      <w:r>
        <w:rPr>
          <w:rFonts w:hint="eastAsia" w:ascii="宋体" w:hAnsi="宋体" w:cs="宋体"/>
          <w:kern w:val="0"/>
          <w:sz w:val="24"/>
        </w:rPr>
        <w:t>合肥百货大楼集团股份有限公司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地址：</w:t>
      </w:r>
      <w:r>
        <w:rPr>
          <w:rFonts w:ascii="宋体" w:hAnsi="宋体" w:cs="宋体"/>
          <w:kern w:val="0"/>
          <w:sz w:val="24"/>
        </w:rPr>
        <w:t>黄山路596号</w:t>
      </w:r>
      <w:r>
        <w:rPr>
          <w:rFonts w:hint="eastAsia" w:ascii="宋体" w:hAnsi="宋体" w:cs="宋体"/>
          <w:kern w:val="0"/>
          <w:sz w:val="24"/>
        </w:rPr>
        <w:t xml:space="preserve"> </w:t>
      </w:r>
      <w:r>
        <w:rPr>
          <w:rFonts w:ascii="宋体" w:hAnsi="宋体" w:cs="宋体"/>
          <w:kern w:val="0"/>
          <w:sz w:val="24"/>
        </w:rPr>
        <w:t>合肥百大集团</w:t>
      </w:r>
      <w:r>
        <w:rPr>
          <w:rFonts w:hint="eastAsia" w:ascii="宋体" w:hAnsi="宋体" w:cs="宋体"/>
          <w:kern w:val="0"/>
          <w:sz w:val="24"/>
        </w:rPr>
        <w:t>12楼候标室</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联系人：范工（报名咨询）   朱工（资质审查）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电话：0551-65771033（报名咨询） 0551-65771025（资质审查）</w:t>
      </w: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numPr>
          <w:ilvl w:val="0"/>
          <w:numId w:val="2"/>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投标须知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一、投标人要求</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具有国家《工程造价咨询企业管理办法》规定的工程造价咨询企业乙级及以上资质证书。</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具有独立法人和一般纳税人资格。在进行资格审查时，需提供以下文件原件查看，加盖公章的相关文件复印件留存（营业执照、企业工程造价资质证书、造价工程师注册证书等）。</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投标人必须具有本地服务能力，并且在投标文件中明确服务承诺；</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hint="eastAsia" w:ascii="宋体" w:hAnsi="宋体" w:cs="宋体"/>
          <w:kern w:val="0"/>
          <w:sz w:val="24"/>
        </w:rPr>
      </w:pP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0" w:firstLineChars="150"/>
        <w:jc w:val="left"/>
        <w:textAlignment w:val="auto"/>
        <w:rPr>
          <w:rFonts w:hint="eastAsia" w:ascii="宋体" w:hAnsi="宋体" w:cs="宋体"/>
          <w:kern w:val="0"/>
          <w:sz w:val="24"/>
          <w:szCs w:val="22"/>
        </w:rPr>
      </w:pPr>
      <w:r>
        <w:rPr>
          <w:rFonts w:hint="eastAsia" w:ascii="宋体" w:hAnsi="宋体" w:cs="宋体"/>
          <w:kern w:val="0"/>
          <w:sz w:val="24"/>
          <w:szCs w:val="22"/>
        </w:rPr>
        <w:t>本次投标不接受联合体投标。</w:t>
      </w:r>
    </w:p>
    <w:p>
      <w:pPr>
        <w:keepNext w:val="0"/>
        <w:keepLines w:val="0"/>
        <w:pageBreakBefore w:val="0"/>
        <w:widowControl/>
        <w:kinsoku/>
        <w:wordWrap/>
        <w:overflowPunct/>
        <w:topLinePunct w:val="0"/>
        <w:autoSpaceDE/>
        <w:autoSpaceDN/>
        <w:bidi w:val="0"/>
        <w:adjustRightInd/>
        <w:spacing w:line="500" w:lineRule="exact"/>
        <w:ind w:left="210" w:leftChars="100"/>
        <w:jc w:val="left"/>
        <w:textAlignment w:val="auto"/>
        <w:rPr>
          <w:rFonts w:hint="eastAsia" w:ascii="宋体" w:hAnsi="宋体" w:cs="宋体"/>
          <w:b/>
          <w:color w:val="000000"/>
          <w:kern w:val="0"/>
          <w:sz w:val="24"/>
        </w:rPr>
      </w:pPr>
      <w:r>
        <w:rPr>
          <w:rFonts w:hint="eastAsia" w:ascii="宋体" w:hAnsi="宋体" w:cs="宋体"/>
          <w:b/>
          <w:color w:val="000000"/>
          <w:kern w:val="0"/>
          <w:sz w:val="24"/>
        </w:rPr>
        <w:t>二、说明</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color w:val="000000"/>
          <w:kern w:val="0"/>
          <w:sz w:val="24"/>
        </w:rPr>
      </w:pPr>
      <w:r>
        <w:rPr>
          <w:rFonts w:hint="eastAsia" w:ascii="宋体" w:hAnsi="宋体" w:cs="宋体"/>
          <w:color w:val="000000"/>
          <w:kern w:val="0"/>
          <w:sz w:val="24"/>
        </w:rPr>
        <w:t>提供的全部资料真实有效。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5.资审通过而不参加投标的投标人，请在开标前3日以书面形式告知招标人，否则没收投标保证金。</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kern w:val="0"/>
          <w:sz w:val="24"/>
          <w:szCs w:val="22"/>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三、投标文件由以下部分构成</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1.投标承诺书、开标一览表、特别声明等。</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2.投标资格证明文件等。</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四、投标报价说明</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2.投标报价、货款一律使用人民币结算。</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lang w:val="zh-CN"/>
        </w:rPr>
      </w:pPr>
      <w:r>
        <w:rPr>
          <w:rFonts w:hint="eastAsia" w:ascii="宋体" w:hAnsi="宋体" w:cs="宋体"/>
          <w:b/>
          <w:color w:val="000000"/>
          <w:kern w:val="0"/>
          <w:sz w:val="24"/>
        </w:rPr>
        <w:t>3.投标报价为费率报价，</w:t>
      </w:r>
      <w:r>
        <w:rPr>
          <w:rFonts w:hint="eastAsia" w:ascii="宋体" w:hAnsi="宋体" w:cs="宋体"/>
          <w:b/>
          <w:color w:val="000000"/>
          <w:kern w:val="0"/>
          <w:sz w:val="24"/>
          <w:lang w:val="zh-CN"/>
        </w:rPr>
        <w:t>为完成本工程项目审计工作及开具正规审计费用发票所需发生的一切费用。</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rPr>
      </w:pPr>
      <w:r>
        <w:rPr>
          <w:rFonts w:hint="eastAsia" w:ascii="宋体" w:hAnsi="宋体" w:cs="宋体"/>
          <w:b/>
          <w:color w:val="000000"/>
          <w:kern w:val="0"/>
          <w:sz w:val="24"/>
        </w:rPr>
        <w:t>4.中标人在付款前须向招标人开具对应金额的6%增值税专用发票。</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color w:val="000000"/>
          <w:kern w:val="0"/>
          <w:sz w:val="24"/>
        </w:rPr>
      </w:pPr>
      <w:r>
        <w:rPr>
          <w:rFonts w:hint="eastAsia" w:ascii="宋体" w:hAnsi="宋体" w:cs="宋体"/>
          <w:b/>
          <w:color w:val="000000"/>
          <w:kern w:val="0"/>
          <w:sz w:val="24"/>
        </w:rPr>
        <w:t>五、投标文件的密封、标记和递交</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ascii="宋体" w:hAnsi="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⑵投标文件要求：</w:t>
      </w:r>
      <w:r>
        <w:rPr>
          <w:rFonts w:hint="eastAsia" w:ascii="宋体" w:hAnsi="宋体" w:cs="宋体"/>
          <w:color w:val="000000"/>
          <w:kern w:val="0"/>
          <w:sz w:val="24"/>
          <w:lang w:eastAsia="zh-CN"/>
        </w:rPr>
        <w:t>胶装，</w:t>
      </w:r>
      <w:r>
        <w:rPr>
          <w:rFonts w:hint="eastAsia" w:ascii="宋体" w:hAnsi="宋体" w:cs="宋体"/>
          <w:color w:val="000000"/>
          <w:kern w:val="0"/>
          <w:sz w:val="24"/>
        </w:rPr>
        <w:t>正、副本各一份，PDF电子版一份。</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投标文件的递交</w:t>
      </w:r>
    </w:p>
    <w:p>
      <w:pPr>
        <w:keepNext w:val="0"/>
        <w:keepLines w:val="0"/>
        <w:pageBreakBefore w:val="0"/>
        <w:widowControl/>
        <w:kinsoku/>
        <w:wordWrap/>
        <w:overflowPunct/>
        <w:topLinePunct w:val="0"/>
        <w:autoSpaceDE/>
        <w:autoSpaceDN/>
        <w:bidi w:val="0"/>
        <w:adjustRightInd/>
        <w:spacing w:line="500" w:lineRule="exact"/>
        <w:ind w:firstLine="240" w:firstLineChars="100"/>
        <w:jc w:val="left"/>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投标人应在投标截止时间前将密封合格的投标文件送达开标现场</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ascii="宋体" w:hAnsi="宋体" w:cs="宋体"/>
          <w:b/>
          <w:color w:val="000000"/>
          <w:kern w:val="0"/>
          <w:sz w:val="24"/>
        </w:rPr>
      </w:pPr>
      <w:r>
        <w:rPr>
          <w:rFonts w:hint="eastAsia" w:ascii="宋体" w:hAnsi="宋体" w:cs="宋体"/>
          <w:b/>
          <w:color w:val="000000"/>
          <w:kern w:val="0"/>
          <w:sz w:val="24"/>
        </w:rPr>
        <w:t>六、评标和定标</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olor w:val="000000"/>
          <w:sz w:val="24"/>
          <w:lang w:eastAsia="zh-CN"/>
        </w:rPr>
      </w:pPr>
      <w:r>
        <w:rPr>
          <w:rFonts w:hint="eastAsia" w:ascii="宋体" w:hAnsi="宋体" w:cs="宋体"/>
          <w:color w:val="000000"/>
          <w:kern w:val="0"/>
          <w:sz w:val="24"/>
        </w:rPr>
        <w:t>2.本次招标活动将采用</w:t>
      </w:r>
      <w:r>
        <w:rPr>
          <w:rFonts w:hint="eastAsia" w:ascii="宋体" w:hAnsi="宋体" w:cs="宋体"/>
          <w:color w:val="000000"/>
          <w:kern w:val="0"/>
          <w:sz w:val="24"/>
          <w:u w:val="single"/>
        </w:rPr>
        <w:t>综合评分方法</w:t>
      </w:r>
      <w:r>
        <w:rPr>
          <w:rFonts w:hint="eastAsia" w:ascii="宋体" w:hAnsi="宋体" w:cs="宋体"/>
          <w:color w:val="000000"/>
          <w:kern w:val="0"/>
          <w:sz w:val="24"/>
        </w:rPr>
        <w:t>评审。综合评分法</w:t>
      </w:r>
      <w:r>
        <w:rPr>
          <w:rFonts w:hint="eastAsia" w:ascii="宋体" w:hAnsi="宋体"/>
          <w:color w:val="000000"/>
          <w:sz w:val="24"/>
        </w:rPr>
        <w:t>：以综合评分为主要因素确定中标单位，即在全部满足招标文件实质性要求（包含服务承诺、资格条件、技术指标及规格、付款方式以及招标过程中对以上内容的补充和修改等）前提下，根据各家评分由高到低排列，评分最高的即为中标单位。</w:t>
      </w:r>
      <w:r>
        <w:rPr>
          <w:rFonts w:hint="eastAsia" w:ascii="宋体" w:hAnsi="宋体"/>
          <w:color w:val="000000"/>
          <w:sz w:val="24"/>
          <w:lang w:eastAsia="zh-CN"/>
        </w:rPr>
        <w:t>详见评分细则。</w:t>
      </w:r>
    </w:p>
    <w:p>
      <w:pPr>
        <w:keepNext w:val="0"/>
        <w:keepLines w:val="0"/>
        <w:pageBreakBefore w:val="0"/>
        <w:widowControl/>
        <w:kinsoku/>
        <w:wordWrap/>
        <w:overflowPunct/>
        <w:topLinePunct w:val="0"/>
        <w:autoSpaceDE/>
        <w:autoSpaceDN/>
        <w:bidi w:val="0"/>
        <w:adjustRightInd/>
        <w:spacing w:line="500" w:lineRule="exact"/>
        <w:ind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3.招标人不承诺报价最低的投标人能够中标，也不对中标或不中标原因作出解释；</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keepNext w:val="0"/>
        <w:keepLines w:val="0"/>
        <w:pageBreakBefore w:val="0"/>
        <w:kinsoku/>
        <w:wordWrap/>
        <w:overflowPunct/>
        <w:topLinePunct w:val="0"/>
        <w:autoSpaceDE/>
        <w:autoSpaceDN/>
        <w:bidi w:val="0"/>
        <w:adjustRightInd/>
        <w:spacing w:line="500" w:lineRule="exact"/>
        <w:ind w:firstLine="475" w:firstLineChars="197"/>
        <w:textAlignment w:val="auto"/>
        <w:rPr>
          <w:rFonts w:ascii="宋体" w:hAnsi="宋体"/>
          <w:b/>
          <w:color w:val="000000"/>
          <w:sz w:val="24"/>
        </w:rPr>
      </w:pPr>
      <w:r>
        <w:rPr>
          <w:rFonts w:hint="eastAsia" w:ascii="宋体" w:hAnsi="宋体"/>
          <w:b/>
          <w:color w:val="000000"/>
          <w:sz w:val="24"/>
          <w:lang w:val="en-US" w:eastAsia="zh-CN"/>
        </w:rPr>
        <w:t>5</w:t>
      </w:r>
      <w:r>
        <w:rPr>
          <w:rFonts w:hint="eastAsia" w:ascii="宋体" w:hAnsi="宋体"/>
          <w:b/>
          <w:color w:val="000000"/>
          <w:sz w:val="24"/>
        </w:rPr>
        <w:t>.废标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有下列情况之一的投标文件为废标：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⑴未按本须知投标要求进行报价的；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⑵未加盖投标人公章的；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⑶投标文件无法定代表人或委托代理人签字、盖章的；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⑷严重违反招标纪律的；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⑸投标文件字迹潦草、模糊致使无法辨认的；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⑹投标单位在一份投标文件中，报有两个或多个不同报价，且未书面声明以哪个报价为准的；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⑺投标文件存在缺项、漏项的；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⑻评委委员会评议认为构成废标的其他情况；</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⑼其他未实质性响应招标文件要求的。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b/>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w:t>
      </w:r>
      <w:r>
        <w:rPr>
          <w:rFonts w:hint="eastAsia" w:ascii="宋体" w:hAnsi="宋体" w:cs="宋体"/>
          <w:b/>
          <w:color w:val="000000"/>
          <w:sz w:val="24"/>
        </w:rPr>
        <w:t>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.1如项目流标，招标人根据情况可能发布二次公告，进行二次招标。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ascii="宋体" w:hAnsi="宋体"/>
          <w:b/>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bCs/>
          <w:kern w:val="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6</w:t>
      </w:r>
      <w:r>
        <w:rPr>
          <w:rFonts w:hint="eastAsia" w:ascii="宋体" w:hAnsi="宋体" w:cs="宋体"/>
          <w:color w:val="000000"/>
          <w:sz w:val="24"/>
        </w:rPr>
        <w:t>.3前次招标流标后，投标人如继续参加二次投标，投标保证金无需重复缴纳。如不参加二次投标的的投标人须书面告知招标人，招标人在规定时间内予以退还投标保证金。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1" w:firstLineChars="150"/>
        <w:jc w:val="left"/>
        <w:textAlignment w:val="auto"/>
        <w:rPr>
          <w:rFonts w:hint="eastAsia" w:ascii="宋体" w:hAnsi="宋体" w:cs="宋体"/>
          <w:b/>
          <w:bCs/>
          <w:color w:val="000000"/>
          <w:sz w:val="24"/>
        </w:rPr>
      </w:pPr>
      <w:r>
        <w:rPr>
          <w:rFonts w:hint="eastAsia" w:ascii="宋体" w:hAnsi="宋体" w:cs="宋体"/>
          <w:b/>
          <w:bCs/>
          <w:color w:val="000000"/>
          <w:sz w:val="24"/>
        </w:rPr>
        <w:t>招标人依据公开、公平、公正原则进行评定标，投标人若认为本次招标过程中存在有违“三公”原则的，可向监标人书面投诉（只接受书面投诉）；联系地址：黄山路596号合肥百大集团1503  百大集团纪检监察室。</w:t>
      </w:r>
    </w:p>
    <w:p>
      <w:pPr>
        <w:spacing w:line="520" w:lineRule="exact"/>
        <w:ind w:firstLine="480" w:firstLineChars="200"/>
        <w:rPr>
          <w:rFonts w:ascii="宋体" w:hAnsi="宋体"/>
          <w:bCs/>
          <w:kern w:val="0"/>
          <w:sz w:val="24"/>
        </w:rPr>
      </w:pPr>
      <w:r>
        <w:rPr>
          <w:rFonts w:hint="eastAsia" w:ascii="宋体" w:hAnsi="宋体"/>
          <w:bCs/>
          <w:kern w:val="0"/>
          <w:sz w:val="24"/>
        </w:rPr>
        <w:t>8.二次招标</w:t>
      </w:r>
    </w:p>
    <w:p>
      <w:pPr>
        <w:spacing w:line="52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20" w:lineRule="exact"/>
        <w:rPr>
          <w:rFonts w:hint="eastAsia" w:ascii="宋体" w:hAnsi="宋体"/>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八、投标文件的澄清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lang w:eastAsia="zh-CN"/>
        </w:rPr>
      </w:pPr>
      <w:r>
        <w:rPr>
          <w:rFonts w:hint="eastAsia" w:ascii="宋体" w:hAnsi="宋体" w:cs="宋体"/>
          <w:color w:val="000000"/>
          <w:kern w:val="0"/>
          <w:sz w:val="24"/>
        </w:rPr>
        <w:t>3.合同签订后，中标人必须按投标时承诺配备的人员及时到位，配备专业人员，未经招标人同意，中标人不得擅自更换或者减少上述人员，否则，招标人有权终止合同，并追究中标人相关责任。根据现场施工情况，保证审计人员数量，招标人有权根据审计人员综合表现，要求其增加或替换专业人员，审计单位必须服从，否则，视同中标人违约，招标人有权中止合同履行，并追究相关责任</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外地投标人（即投标人注册地非合肥行政区域）中标后应按相关规定履行本地造价行业主管部门进肥登记、造价人员转入等手续，并按承诺履约，否则风险自负。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投标人若中标后，在履行造价咨询服务中出现严重质量问题，造成工程履约困难、投资重大损失、社会不良影响的，招标人将根据不同情形给予停止委托业务、清出百大集团零星工程项目结算审计造价咨询库等处理，并在招标日期起一年内不再接受投标人同类项目投标。</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必要时，在造价咨询服务合同签订前，招标人根据中标方实际情况组织对企业实地考察，不符合投标承诺要求的将取消中标资格，并终止合同授予。</w:t>
      </w: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就百大奥莱内装饰等工程结算审计造价咨询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rPr>
        <w:t>百大奥莱内装饰等工程结算审计造价咨询</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w:t>
      </w:r>
      <w:r>
        <w:rPr>
          <w:rFonts w:hint="eastAsia" w:hAnsi="宋体"/>
          <w:color w:val="000000"/>
          <w:sz w:val="24"/>
        </w:rPr>
        <w:t>肥西县玉兰大道与明珠路交口东北角</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hint="eastAsia" w:ascii="宋体" w:hAnsi="宋体" w:cs="宋体"/>
          <w:color w:val="000000"/>
          <w:kern w:val="0"/>
          <w:sz w:val="24"/>
        </w:rPr>
        <w:t>百大奥莱内装饰等工程结算审计造价咨询工作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w:t>
      </w:r>
      <w:r>
        <w:rPr>
          <w:rFonts w:hint="eastAsia" w:ascii="宋体" w:hAnsi="宋体" w:cs="宋体"/>
          <w:color w:val="000000"/>
          <w:kern w:val="0"/>
          <w:sz w:val="24"/>
        </w:rPr>
        <w:t>下，于</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个自然日内完成</w:t>
      </w:r>
      <w:r>
        <w:rPr>
          <w:rFonts w:hint="eastAsia" w:ascii="宋体" w:hAnsi="宋体" w:cs="宋体"/>
          <w:color w:val="000000"/>
          <w:kern w:val="0"/>
          <w:sz w:val="24"/>
        </w:rPr>
        <w:t>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2000万元</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 7 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10.乙方委派参与审计的造价师不得与施工单位等有任何联系，审计所需的材料集中由百大集团审计法务部负责提供。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11.乙方委派参与审计的造价师须在百大集团审计法务部的陪同下，前往现场进行审计。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highlight w:val="yellow"/>
        </w:rPr>
        <w:t>2</w:t>
      </w:r>
      <w:r>
        <w:rPr>
          <w:rFonts w:hint="eastAsia" w:ascii="宋体" w:hAnsi="宋体" w:cs="宋体"/>
          <w:kern w:val="0"/>
          <w:sz w:val="24"/>
        </w:rPr>
        <w:t>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 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本合同正本一式陆份，均具有同等法律效力，委托人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叁</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spacing w:line="520" w:lineRule="exact"/>
        <w:ind w:firstLine="482" w:firstLineChars="200"/>
        <w:jc w:val="left"/>
        <w:rPr>
          <w:rFonts w:ascii="宋体" w:hAnsi="宋体" w:cs="宋体"/>
          <w:b/>
          <w:kern w:val="0"/>
          <w:sz w:val="24"/>
        </w:rPr>
      </w:pPr>
      <w:r>
        <w:rPr>
          <w:rFonts w:hint="eastAsia" w:ascii="宋体" w:hAnsi="宋体"/>
          <w:b/>
          <w:bCs/>
          <w:sz w:val="24"/>
          <w:szCs w:val="27"/>
        </w:rPr>
        <w:t>七、</w:t>
      </w:r>
      <w:r>
        <w:rPr>
          <w:rFonts w:hint="eastAsia" w:ascii="宋体" w:hAnsi="宋体" w:cs="宋体"/>
          <w:b/>
          <w:kern w:val="0"/>
          <w:sz w:val="24"/>
        </w:rPr>
        <w:t>其他需要说明事项</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本合同一式</w:t>
      </w:r>
      <w:r>
        <w:rPr>
          <w:rFonts w:hint="eastAsia" w:ascii="宋体" w:hAnsi="宋体" w:cs="宋体"/>
          <w:kern w:val="0"/>
          <w:sz w:val="24"/>
          <w:lang w:eastAsia="zh-CN"/>
        </w:rPr>
        <w:t>陆</w:t>
      </w:r>
      <w:r>
        <w:rPr>
          <w:rFonts w:hint="eastAsia" w:ascii="宋体" w:hAnsi="宋体" w:cs="宋体"/>
          <w:kern w:val="0"/>
          <w:sz w:val="24"/>
        </w:rPr>
        <w:t>份，双方各持</w:t>
      </w:r>
      <w:r>
        <w:rPr>
          <w:rFonts w:hint="eastAsia" w:ascii="宋体" w:hAnsi="宋体" w:cs="宋体"/>
          <w:kern w:val="0"/>
          <w:sz w:val="24"/>
          <w:lang w:eastAsia="zh-CN"/>
        </w:rPr>
        <w:t>叁</w:t>
      </w:r>
      <w:r>
        <w:rPr>
          <w:rFonts w:hint="eastAsia" w:ascii="宋体" w:hAnsi="宋体" w:cs="宋体"/>
          <w:kern w:val="0"/>
          <w:sz w:val="24"/>
        </w:rPr>
        <w:t>份，具有同等法律效力。</w:t>
      </w:r>
    </w:p>
    <w:p>
      <w:pPr>
        <w:widowControl/>
        <w:spacing w:line="520" w:lineRule="exact"/>
        <w:ind w:firstLine="480" w:firstLineChars="200"/>
        <w:jc w:val="left"/>
        <w:rPr>
          <w:rFonts w:ascii="宋体" w:hAnsi="宋体" w:cs="宋体"/>
          <w:kern w:val="0"/>
          <w:sz w:val="24"/>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ind w:firstLine="2891" w:firstLineChars="900"/>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r>
        <w:rPr>
          <w:rFonts w:hint="eastAsia" w:ascii="宋体" w:hAnsi="宋体" w:cs="宋体"/>
          <w:b/>
          <w:color w:val="000000"/>
          <w:kern w:val="0"/>
          <w:sz w:val="24"/>
        </w:rPr>
        <w:t>百大奥莱生活广场有限公司</w:t>
      </w:r>
    </w:p>
    <w:p>
      <w:pPr>
        <w:widowControl/>
        <w:spacing w:line="520" w:lineRule="exact"/>
        <w:jc w:val="left"/>
        <w:rPr>
          <w:rFonts w:ascii="宋体" w:hAnsi="宋体" w:cs="宋体"/>
          <w:kern w:val="0"/>
          <w:sz w:val="24"/>
        </w:rPr>
      </w:pPr>
      <w:r>
        <w:rPr>
          <w:rFonts w:hint="eastAsia" w:ascii="宋体" w:hAnsi="宋体" w:cs="宋体"/>
          <w:kern w:val="0"/>
          <w:sz w:val="24"/>
        </w:rPr>
        <w:t>根据贵方投标邀请（编号），签字代表（姓名、职务）已被正式授权代表投标人（投标人名称）提交下述文件。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年月日</w:t>
      </w:r>
    </w:p>
    <w:p>
      <w:pPr>
        <w:widowControl/>
        <w:spacing w:before="100" w:beforeAutospacing="1" w:line="480" w:lineRule="exact"/>
        <w:ind w:firstLine="354" w:firstLineChars="147"/>
        <w:rPr>
          <w:rFonts w:ascii="宋体" w:hAnsi="宋体" w:cs="宋体"/>
          <w:b/>
          <w:kern w:val="0"/>
          <w:sz w:val="24"/>
        </w:rPr>
      </w:pPr>
    </w:p>
    <w:p>
      <w:pPr>
        <w:widowControl/>
        <w:spacing w:before="100" w:beforeAutospacing="1" w:line="480" w:lineRule="exact"/>
        <w:ind w:firstLine="354" w:firstLineChars="147"/>
        <w:jc w:val="center"/>
        <w:rPr>
          <w:rFonts w:hint="eastAsia" w:ascii="宋体" w:hAnsi="宋体" w:cs="宋体"/>
          <w:b/>
          <w:kern w:val="0"/>
          <w:sz w:val="24"/>
        </w:rPr>
      </w:pP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（二）开标一览表</w:t>
      </w:r>
    </w:p>
    <w:p>
      <w:pPr>
        <w:widowControl/>
        <w:spacing w:line="520" w:lineRule="exact"/>
        <w:jc w:val="left"/>
        <w:rPr>
          <w:rFonts w:ascii="宋体" w:hAnsi="宋体" w:cs="宋体"/>
          <w:b/>
          <w:kern w:val="0"/>
          <w:sz w:val="24"/>
        </w:rPr>
      </w:pP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6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标的名称</w:t>
            </w:r>
          </w:p>
        </w:tc>
        <w:tc>
          <w:tcPr>
            <w:tcW w:w="6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60" w:lineRule="exact"/>
              <w:jc w:val="left"/>
              <w:textAlignment w:val="auto"/>
              <w:rPr>
                <w:rFonts w:cs="宋体" w:asciiTheme="minorEastAsia" w:hAnsiTheme="minorEastAsia" w:eastAsiaTheme="minorEastAsia"/>
                <w:kern w:val="0"/>
                <w:sz w:val="24"/>
              </w:rPr>
            </w:pPr>
            <w:bookmarkStart w:id="2" w:name="_GoBack"/>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服务（三次）</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02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asciiTheme="minorEastAsia" w:hAnsiTheme="minorEastAsia" w:eastAsiaTheme="minorEastAsia"/>
          <w:sz w:val="24"/>
        </w:rPr>
      </w:pPr>
      <w:r>
        <w:rPr>
          <w:rFonts w:hint="eastAsia" w:asciiTheme="minorEastAsia" w:hAnsiTheme="minorEastAsia" w:eastAsiaTheme="minorEastAsia"/>
          <w:sz w:val="24"/>
        </w:rPr>
        <w:t>注：1.本项目投标人需根据</w:t>
      </w:r>
      <w:r>
        <w:rPr>
          <w:rFonts w:hint="eastAsia" w:asciiTheme="minorEastAsia" w:hAnsiTheme="minorEastAsia" w:eastAsiaTheme="minorEastAsia"/>
          <w:b/>
          <w:sz w:val="24"/>
        </w:rPr>
        <w:t>所投标的</w:t>
      </w:r>
      <w:r>
        <w:rPr>
          <w:rFonts w:hint="eastAsia" w:asciiTheme="minorEastAsia" w:hAnsiTheme="minorEastAsia" w:eastAsiaTheme="minorEastAsia"/>
          <w:sz w:val="24"/>
        </w:rPr>
        <w:t>填写《开标一览表》。</w:t>
      </w:r>
    </w:p>
    <w:p>
      <w:pPr>
        <w:widowControl/>
        <w:spacing w:line="6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2.与中标单位签订的合同或协议为本标书之不可分割的一部分。</w:t>
      </w:r>
    </w:p>
    <w:p>
      <w:pPr>
        <w:widowControl/>
        <w:spacing w:beforeLines="200"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二〇一九年  月   日     </w:t>
      </w:r>
    </w:p>
    <w:p>
      <w:pPr>
        <w:pStyle w:val="3"/>
        <w:rPr>
          <w:sz w:val="24"/>
          <w:szCs w:val="24"/>
        </w:rPr>
      </w:pPr>
      <w:bookmarkStart w:id="0" w:name="_Toc377721495"/>
      <w:r>
        <w:rPr>
          <w:rFonts w:hint="eastAsia"/>
          <w:sz w:val="24"/>
          <w:szCs w:val="24"/>
        </w:rPr>
        <w:t>（三）拟参加本工程审计人员履历表</w:t>
      </w:r>
      <w:bookmarkEnd w:id="0"/>
    </w:p>
    <w:tbl>
      <w:tblPr>
        <w:tblStyle w:val="1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1214" w:type="dxa"/>
            <w:vAlign w:val="center"/>
          </w:tcPr>
          <w:p>
            <w:pPr>
              <w:pStyle w:val="25"/>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sz w:val="24"/>
              </w:rPr>
            </w:pPr>
            <w:bookmarkStart w:id="1" w:name="_Hlt509738950"/>
            <w:bookmarkEnd w:id="1"/>
            <w:r>
              <w:rPr>
                <w:rFonts w:hint="eastAsia" w:ascii="宋体" w:hAnsi="宋体"/>
                <w:sz w:val="24"/>
              </w:rPr>
              <w:t>注：表后须附审计人员相关资格证书的复印件或影印件。</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ind w:left="4800"/>
        <w:jc w:val="center"/>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sz w:val="28"/>
          <w:szCs w:val="28"/>
        </w:rPr>
      </w:pPr>
      <w:r>
        <w:rPr>
          <w:rFonts w:hint="eastAsia" w:ascii="宋体" w:hAnsi="宋体" w:cs="宋体"/>
          <w:b/>
          <w:kern w:val="0"/>
          <w:sz w:val="24"/>
          <w:lang w:val="zh-CN"/>
        </w:rPr>
        <w:t>（五）投标保证金退还申请书</w:t>
      </w:r>
    </w:p>
    <w:p>
      <w:pPr>
        <w:spacing w:beforeLines="150"/>
        <w:rPr>
          <w:rFonts w:ascii="宋体" w:hAnsi="宋体" w:cs="宋体"/>
          <w:sz w:val="24"/>
        </w:rPr>
      </w:pPr>
      <w:r>
        <w:rPr>
          <w:rFonts w:hint="eastAsia" w:ascii="宋体" w:hAnsi="宋体" w:cs="宋体"/>
          <w:b/>
          <w:kern w:val="0"/>
          <w:sz w:val="24"/>
        </w:rPr>
        <w:t>合肥百货大楼集团股份有限公司</w:t>
      </w:r>
      <w:r>
        <w:rPr>
          <w:rFonts w:hint="eastAsia" w:ascii="宋体" w:hAnsi="宋体" w:cs="宋体"/>
          <w:b/>
          <w:color w:val="000000"/>
          <w:kern w:val="0"/>
          <w:sz w:val="24"/>
        </w:rPr>
        <w:t>百大奥莱生活广场有限公司</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w:t>
      </w:r>
      <w:r>
        <w:rPr>
          <w:rFonts w:hint="eastAsia" w:ascii="宋体" w:hAnsi="宋体" w:cs="宋体"/>
          <w:sz w:val="24"/>
          <w:u w:val="single"/>
          <w:lang w:val="en-US" w:eastAsia="zh-CN"/>
        </w:rPr>
        <w:t xml:space="preserve">                </w:t>
      </w:r>
      <w:r>
        <w:rPr>
          <w:rFonts w:hint="eastAsia" w:ascii="宋体" w:hAnsi="宋体" w:cs="宋体"/>
          <w:sz w:val="24"/>
        </w:rPr>
        <w:t>项目招投标，交纳保证金元。如我公司未中标，请将该项目投标保证金退至以下账号；如我公司中标，投标保证金退还事宜按投标邀请约定执行。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ascii="宋体" w:hAnsi="宋体" w:cs="宋体"/>
          <w:sz w:val="24"/>
        </w:rPr>
      </w:pPr>
      <w:r>
        <w:rPr>
          <w:rFonts w:hint="eastAsia" w:ascii="宋体" w:hAnsi="宋体" w:cs="宋体"/>
          <w:sz w:val="24"/>
        </w:rPr>
        <w:t>注：转账单请附后。</w:t>
      </w:r>
    </w:p>
    <w:p>
      <w:pPr>
        <w:rPr>
          <w:rFonts w:ascii="宋体" w:hAnsi="宋体" w:cs="宋体"/>
          <w:sz w:val="24"/>
        </w:rPr>
      </w:pPr>
    </w:p>
    <w:p>
      <w:pPr>
        <w:jc w:val="right"/>
        <w:rPr>
          <w:rFonts w:ascii="宋体" w:hAnsi="宋体" w:cs="宋体"/>
          <w:sz w:val="24"/>
        </w:rPr>
      </w:pPr>
    </w:p>
    <w:p>
      <w:pPr>
        <w:rPr>
          <w:rFonts w:ascii="宋体" w:hAnsi="宋体" w:cs="宋体"/>
          <w:sz w:val="24"/>
        </w:rPr>
      </w:pPr>
      <w:r>
        <w:rPr>
          <w:rFonts w:hint="eastAsia" w:ascii="宋体" w:hAnsi="宋体" w:cs="宋体"/>
          <w:sz w:val="24"/>
        </w:rPr>
        <w:t>投标人：</w:t>
      </w:r>
    </w:p>
    <w:p>
      <w:pPr>
        <w:ind w:right="480" w:firstLine="7200" w:firstLineChars="3000"/>
        <w:rPr>
          <w:rFonts w:ascii="宋体" w:hAnsi="宋体" w:cs="宋体"/>
          <w:sz w:val="24"/>
        </w:rPr>
      </w:pPr>
      <w:r>
        <w:rPr>
          <w:rFonts w:hint="eastAsia" w:ascii="宋体" w:hAnsi="宋体" w:cs="宋体"/>
          <w:sz w:val="24"/>
        </w:rPr>
        <w:t>201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hint="eastAsia" w:ascii="宋体" w:hAnsi="宋体" w:cs="宋体"/>
          <w:b/>
          <w:kern w:val="0"/>
          <w:sz w:val="28"/>
        </w:rPr>
      </w:pPr>
      <w:r>
        <w:rPr>
          <w:rFonts w:hint="eastAsia" w:ascii="宋体" w:hAnsi="宋体" w:cs="宋体"/>
          <w:b/>
          <w:kern w:val="0"/>
          <w:sz w:val="28"/>
          <w:lang w:val="en-US" w:eastAsia="zh-CN"/>
        </w:rPr>
        <w:t>(六)</w:t>
      </w:r>
      <w:r>
        <w:rPr>
          <w:rFonts w:hint="eastAsia" w:ascii="宋体" w:hAnsi="宋体" w:cs="宋体"/>
          <w:b/>
          <w:kern w:val="0"/>
          <w:sz w:val="28"/>
        </w:rPr>
        <w:t>评分细则</w:t>
      </w:r>
    </w:p>
    <w:tbl>
      <w:tblPr>
        <w:tblStyle w:val="12"/>
        <w:tblW w:w="10280" w:type="dxa"/>
        <w:tblInd w:w="0" w:type="dxa"/>
        <w:tblLayout w:type="fixed"/>
        <w:tblCellMar>
          <w:top w:w="0" w:type="dxa"/>
          <w:left w:w="108" w:type="dxa"/>
          <w:bottom w:w="0" w:type="dxa"/>
          <w:right w:w="108" w:type="dxa"/>
        </w:tblCellMar>
      </w:tblPr>
      <w:tblGrid>
        <w:gridCol w:w="673"/>
        <w:gridCol w:w="752"/>
        <w:gridCol w:w="753"/>
        <w:gridCol w:w="4421"/>
        <w:gridCol w:w="680"/>
        <w:gridCol w:w="3001"/>
      </w:tblGrid>
      <w:tr>
        <w:tblPrEx>
          <w:tblCellMar>
            <w:top w:w="0" w:type="dxa"/>
            <w:left w:w="108" w:type="dxa"/>
            <w:bottom w:w="0" w:type="dxa"/>
            <w:right w:w="108" w:type="dxa"/>
          </w:tblCellMar>
        </w:tblPrEx>
        <w:trPr>
          <w:trHeight w:val="626"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p>
            <w:pPr>
              <w:widowControl/>
              <w:jc w:val="center"/>
              <w:rPr>
                <w:rFonts w:ascii="宋体" w:hAnsi="宋体" w:cs="宋体"/>
                <w:color w:val="000000"/>
                <w:kern w:val="0"/>
                <w:szCs w:val="21"/>
              </w:rPr>
            </w:pPr>
            <w:r>
              <w:rPr>
                <w:rFonts w:hint="eastAsia" w:ascii="宋体" w:hAnsi="宋体" w:cs="宋体"/>
                <w:color w:val="000000"/>
                <w:kern w:val="0"/>
                <w:szCs w:val="21"/>
              </w:rPr>
              <w:t>项目</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4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评分细则</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3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证明材料要求</w:t>
            </w:r>
          </w:p>
        </w:tc>
      </w:tr>
      <w:tr>
        <w:tblPrEx>
          <w:tblCellMar>
            <w:top w:w="0" w:type="dxa"/>
            <w:left w:w="108" w:type="dxa"/>
            <w:bottom w:w="0" w:type="dxa"/>
            <w:right w:w="108" w:type="dxa"/>
          </w:tblCellMar>
        </w:tblPrEx>
        <w:trPr>
          <w:trHeight w:val="356" w:hRule="atLeast"/>
        </w:trPr>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w:t>
            </w:r>
          </w:p>
        </w:tc>
        <w:tc>
          <w:tcPr>
            <w:tcW w:w="7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资质</w:t>
            </w:r>
          </w:p>
          <w:p>
            <w:pPr>
              <w:widowControl/>
              <w:jc w:val="center"/>
              <w:rPr>
                <w:rFonts w:ascii="宋体" w:hAnsi="宋体" w:cs="宋体"/>
                <w:color w:val="000000"/>
                <w:kern w:val="0"/>
                <w:szCs w:val="21"/>
              </w:rPr>
            </w:pPr>
            <w:r>
              <w:rPr>
                <w:rFonts w:hint="eastAsia" w:ascii="宋体" w:hAnsi="宋体" w:cs="宋体"/>
                <w:color w:val="000000"/>
                <w:kern w:val="0"/>
                <w:szCs w:val="21"/>
              </w:rPr>
              <w:t>信誉</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甲级资质得2分。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30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提供相应的原件及复印件（提示：本项内容将向社会公示，请据实填写，不得弄虚作假；否则，视同提供虚假材料谋取中标处理，并承担相应法律责任）。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939"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b/>
                <w:color w:val="000000"/>
                <w:kern w:val="0"/>
                <w:sz w:val="21"/>
                <w:szCs w:val="21"/>
              </w:rPr>
            </w:pPr>
            <w:r>
              <w:rPr>
                <w:rFonts w:hint="eastAsia" w:ascii="宋体" w:hAnsi="宋体" w:cs="宋体"/>
                <w:color w:val="000000"/>
                <w:kern w:val="0"/>
                <w:sz w:val="21"/>
                <w:szCs w:val="21"/>
              </w:rPr>
              <w:t>近</w:t>
            </w:r>
            <w:r>
              <w:rPr>
                <w:rFonts w:ascii="宋体" w:hAnsi="宋体" w:cs="宋体"/>
                <w:color w:val="000000"/>
                <w:kern w:val="0"/>
                <w:sz w:val="21"/>
                <w:szCs w:val="21"/>
              </w:rPr>
              <w:t>3年企业所得税纳税额年平均超过</w:t>
            </w:r>
            <w:r>
              <w:rPr>
                <w:rFonts w:hint="eastAsia" w:ascii="宋体" w:hAnsi="宋体" w:cs="宋体"/>
                <w:color w:val="000000"/>
                <w:kern w:val="0"/>
                <w:sz w:val="21"/>
                <w:szCs w:val="21"/>
              </w:rPr>
              <w:t>2</w:t>
            </w:r>
            <w:r>
              <w:rPr>
                <w:rFonts w:ascii="宋体" w:hAnsi="宋体" w:cs="宋体"/>
                <w:color w:val="000000"/>
                <w:kern w:val="0"/>
                <w:sz w:val="21"/>
                <w:szCs w:val="21"/>
              </w:rPr>
              <w:t>0万元以上的加3分；</w:t>
            </w:r>
            <w:r>
              <w:rPr>
                <w:rFonts w:hint="eastAsia" w:ascii="宋体" w:hAnsi="宋体" w:cs="宋体"/>
                <w:color w:val="000000"/>
                <w:kern w:val="0"/>
                <w:sz w:val="21"/>
                <w:szCs w:val="21"/>
              </w:rPr>
              <w:t>3</w:t>
            </w:r>
            <w:r>
              <w:rPr>
                <w:rFonts w:ascii="宋体" w:hAnsi="宋体" w:cs="宋体"/>
                <w:color w:val="000000"/>
                <w:kern w:val="0"/>
                <w:sz w:val="21"/>
                <w:szCs w:val="21"/>
              </w:rPr>
              <w:t>0万元以上的加5</w:t>
            </w:r>
            <w:r>
              <w:rPr>
                <w:rFonts w:hint="eastAsia" w:ascii="宋体" w:hAnsi="宋体" w:cs="宋体"/>
                <w:color w:val="000000"/>
                <w:kern w:val="0"/>
                <w:sz w:val="21"/>
                <w:szCs w:val="21"/>
              </w:rPr>
              <w:t>分（需提供税务局盖章的企业所得税年度纳税申报表）。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241"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2016年至今，获得县级审计主管部门颁发审计类荣誉证书得1分；市级主管部门颁发的审计类荣誉证书得2分；省级及以上主管部门颁发的审计类荣誉证书得4分。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165"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企业</w:t>
            </w:r>
          </w:p>
          <w:p>
            <w:pPr>
              <w:widowControl/>
              <w:jc w:val="center"/>
              <w:rPr>
                <w:rFonts w:ascii="宋体" w:hAnsi="宋体" w:cs="宋体"/>
                <w:color w:val="000000"/>
                <w:kern w:val="0"/>
                <w:szCs w:val="21"/>
              </w:rPr>
            </w:pPr>
            <w:r>
              <w:rPr>
                <w:rFonts w:hint="eastAsia" w:ascii="宋体" w:hAnsi="宋体" w:cs="宋体"/>
                <w:color w:val="000000"/>
                <w:kern w:val="0"/>
                <w:szCs w:val="21"/>
              </w:rPr>
              <w:t>业绩</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1.2016年至今，承接国有投资工程结算审计业务的，审定价在2000万元及以上的项目，有一项得3分，累计最多得18分（需提供合同及审计定案表）。</w:t>
            </w:r>
          </w:p>
          <w:p>
            <w:pPr>
              <w:widowControl/>
              <w:rPr>
                <w:rFonts w:ascii="宋体" w:hAnsi="宋体" w:cs="宋体"/>
                <w:kern w:val="0"/>
                <w:szCs w:val="21"/>
              </w:rPr>
            </w:pPr>
            <w:r>
              <w:rPr>
                <w:rFonts w:hint="eastAsia" w:ascii="宋体" w:hAnsi="宋体" w:cs="宋体"/>
                <w:kern w:val="0"/>
                <w:szCs w:val="21"/>
              </w:rPr>
              <w:t>2.2019-2020年度百大集团零星工程结算审计单位的加3分。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1241"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人员</w:t>
            </w:r>
          </w:p>
          <w:p>
            <w:pPr>
              <w:widowControl/>
              <w:jc w:val="center"/>
              <w:rPr>
                <w:rFonts w:ascii="宋体" w:hAnsi="宋体" w:cs="宋体"/>
                <w:color w:val="000000"/>
                <w:kern w:val="0"/>
                <w:szCs w:val="21"/>
              </w:rPr>
            </w:pPr>
            <w:r>
              <w:rPr>
                <w:rFonts w:hint="eastAsia" w:ascii="宋体" w:hAnsi="宋体" w:cs="宋体"/>
                <w:color w:val="000000"/>
                <w:kern w:val="0"/>
                <w:szCs w:val="21"/>
              </w:rPr>
              <w:t>配备</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投标人取得造价工程师注册证书人员超过工程造价咨询企业资质等级要求（甲级10人，乙级6人），每多1人的得1分，最多8分。（以证书为准）。</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提供相关证书及所有人员劳动保险交纳凭证（社保部门出具的2019年5-8月份企业交费清单）。</w:t>
            </w:r>
          </w:p>
        </w:tc>
      </w:tr>
      <w:tr>
        <w:tblPrEx>
          <w:tblCellMar>
            <w:top w:w="0" w:type="dxa"/>
            <w:left w:w="108" w:type="dxa"/>
            <w:bottom w:w="0" w:type="dxa"/>
            <w:right w:w="108" w:type="dxa"/>
          </w:tblCellMar>
        </w:tblPrEx>
        <w:trPr>
          <w:trHeight w:val="370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w:t>
            </w:r>
          </w:p>
          <w:p>
            <w:pPr>
              <w:widowControl/>
              <w:jc w:val="center"/>
              <w:rPr>
                <w:rFonts w:ascii="宋体" w:hAnsi="宋体" w:cs="宋体"/>
                <w:color w:val="000000"/>
                <w:kern w:val="0"/>
                <w:szCs w:val="21"/>
              </w:rPr>
            </w:pPr>
            <w:r>
              <w:rPr>
                <w:rFonts w:hint="eastAsia" w:ascii="宋体" w:hAnsi="宋体" w:cs="宋体"/>
                <w:color w:val="000000"/>
                <w:kern w:val="0"/>
                <w:szCs w:val="21"/>
              </w:rPr>
              <w:t>承诺</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442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1.本项目拟派的项目负责人为注册造价工程师。如具有高级专业技术职称、近三年具有工程造价为2000万元以上工程结算项目负责人经验、市级以上优秀项目审计负责人（以定案报告签字为准），每符合一个条件加一分，最多得三分。</w:t>
            </w:r>
            <w:r>
              <w:rPr>
                <w:rFonts w:hint="eastAsia" w:ascii="宋体" w:hAnsi="宋体" w:cs="宋体"/>
                <w:color w:val="000000"/>
                <w:kern w:val="0"/>
                <w:szCs w:val="21"/>
              </w:rPr>
              <w:br w:type="textWrapping"/>
            </w:r>
            <w:r>
              <w:rPr>
                <w:rFonts w:hint="eastAsia" w:ascii="宋体" w:hAnsi="宋体" w:cs="宋体"/>
                <w:color w:val="000000"/>
                <w:kern w:val="0"/>
                <w:szCs w:val="21"/>
              </w:rPr>
              <w:t>2.本项目其他人员配置情况：如具有造价工程师，近三年具有工程造价为2000万元以上单项工程结算审计或跟踪审计项目业绩的，每符合一个条件得一分，最多得四分。</w:t>
            </w:r>
          </w:p>
          <w:p>
            <w:pPr>
              <w:jc w:val="left"/>
              <w:rPr>
                <w:rFonts w:ascii="宋体" w:hAnsi="宋体" w:cs="宋体"/>
                <w:color w:val="000000"/>
                <w:kern w:val="0"/>
                <w:szCs w:val="21"/>
              </w:rPr>
            </w:pPr>
            <w:r>
              <w:rPr>
                <w:rFonts w:hint="eastAsia" w:ascii="宋体" w:hAnsi="宋体" w:cs="宋体"/>
                <w:color w:val="000000"/>
                <w:kern w:val="0"/>
                <w:szCs w:val="21"/>
              </w:rPr>
              <w:t>3.有明确有效的服务措施，且符合工程结算实际，每条得一分，最多得三分。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300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2790"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五</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商务</w:t>
            </w:r>
          </w:p>
          <w:p>
            <w:pPr>
              <w:widowControl/>
              <w:jc w:val="center"/>
              <w:rPr>
                <w:rFonts w:ascii="宋体" w:hAnsi="宋体" w:cs="宋体"/>
                <w:color w:val="000000"/>
                <w:kern w:val="0"/>
                <w:szCs w:val="21"/>
              </w:rPr>
            </w:pPr>
            <w:r>
              <w:rPr>
                <w:rFonts w:hint="eastAsia" w:ascii="宋体" w:hAnsi="宋体" w:cs="宋体"/>
                <w:color w:val="000000"/>
                <w:kern w:val="0"/>
                <w:szCs w:val="21"/>
              </w:rPr>
              <w:t>报价</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商务报价按50分计算，其中基础费率20分，审减费率30分。</w:t>
            </w:r>
          </w:p>
          <w:p>
            <w:pPr>
              <w:widowControl/>
              <w:rPr>
                <w:rFonts w:ascii="宋体" w:hAnsi="宋体" w:cs="宋体"/>
                <w:color w:val="000000"/>
                <w:kern w:val="0"/>
                <w:szCs w:val="21"/>
              </w:rPr>
            </w:pPr>
            <w:r>
              <w:rPr>
                <w:rFonts w:hint="eastAsia" w:ascii="宋体" w:hAnsi="宋体" w:cs="宋体"/>
                <w:color w:val="000000"/>
                <w:kern w:val="0"/>
                <w:szCs w:val="21"/>
              </w:rPr>
              <w:t>其中：1.商务得分计算公式为：(A/基础费率报价×20)+(B/审减费率报价×30)， A为最低基础审计费率报价，B为最低审减费率报价，各项费率报价不得为0；</w:t>
            </w:r>
          </w:p>
          <w:p>
            <w:pPr>
              <w:widowControl/>
              <w:rPr>
                <w:rFonts w:ascii="宋体" w:hAnsi="宋体" w:cs="宋体"/>
                <w:color w:val="000000"/>
                <w:kern w:val="0"/>
                <w:szCs w:val="21"/>
              </w:rPr>
            </w:pPr>
            <w:r>
              <w:rPr>
                <w:rFonts w:hint="eastAsia" w:ascii="宋体" w:hAnsi="宋体" w:cs="宋体"/>
                <w:color w:val="000000"/>
                <w:kern w:val="0"/>
                <w:szCs w:val="21"/>
              </w:rPr>
              <w:t xml:space="preserve">2.审减费率报价/基础费率报价≥1 ；  </w:t>
            </w:r>
          </w:p>
          <w:p>
            <w:pPr>
              <w:widowControl/>
              <w:rPr>
                <w:rFonts w:ascii="宋体" w:hAnsi="宋体" w:cs="宋体"/>
                <w:color w:val="000000"/>
                <w:kern w:val="0"/>
                <w:szCs w:val="21"/>
              </w:rPr>
            </w:pPr>
            <w:r>
              <w:rPr>
                <w:rFonts w:hint="eastAsia" w:ascii="宋体" w:hAnsi="宋体" w:cs="宋体"/>
                <w:color w:val="000000"/>
                <w:kern w:val="0"/>
                <w:szCs w:val="21"/>
              </w:rPr>
              <w:t>3.以上报价均保留百分比后的两位小数，例如0.16%，2.50%。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3001" w:type="dxa"/>
            <w:tcBorders>
              <w:top w:val="nil"/>
              <w:left w:val="nil"/>
              <w:bottom w:val="single" w:color="auto" w:sz="4" w:space="0"/>
              <w:right w:val="single" w:color="auto" w:sz="4" w:space="0"/>
            </w:tcBorders>
            <w:shd w:val="clear" w:color="auto" w:fill="auto"/>
            <w:vAlign w:val="center"/>
          </w:tcPr>
          <w:p>
            <w:pPr>
              <w:widowControl/>
              <w:tabs>
                <w:tab w:val="left" w:pos="-284"/>
              </w:tabs>
              <w:spacing w:line="480" w:lineRule="exact"/>
              <w:rPr>
                <w:rFonts w:ascii="宋体" w:hAnsi="宋体" w:cs="宋体"/>
                <w:b/>
                <w:kern w:val="0"/>
                <w:sz w:val="24"/>
              </w:rPr>
            </w:pPr>
            <w:r>
              <w:rPr>
                <w:rFonts w:hint="eastAsia" w:ascii="宋体" w:hAnsi="宋体" w:cs="宋体"/>
                <w:b/>
                <w:kern w:val="0"/>
                <w:sz w:val="22"/>
              </w:rPr>
              <w:t>注：投标报价不符合要求的按无效标处理。</w:t>
            </w:r>
          </w:p>
          <w:p>
            <w:pPr>
              <w:widowControl/>
              <w:jc w:val="center"/>
              <w:rPr>
                <w:rFonts w:ascii="宋体" w:hAnsi="宋体" w:cs="宋体"/>
                <w:color w:val="000000"/>
                <w:kern w:val="0"/>
                <w:szCs w:val="21"/>
              </w:rPr>
            </w:pPr>
          </w:p>
        </w:tc>
      </w:tr>
    </w:tbl>
    <w:p>
      <w:pPr>
        <w:widowControl/>
        <w:spacing w:after="100" w:afterAutospacing="1" w:line="480" w:lineRule="exact"/>
        <w:jc w:val="both"/>
        <w:rPr>
          <w:rFonts w:ascii="宋体" w:hAnsi="宋体" w:cs="宋体"/>
          <w:b/>
          <w:kern w:val="0"/>
          <w:sz w:val="24"/>
        </w:rPr>
      </w:pPr>
    </w:p>
    <w:sectPr>
      <w:headerReference r:id="rId4" w:type="first"/>
      <w:headerReference r:id="rId3" w:type="default"/>
      <w:footerReference r:id="rId5" w:type="default"/>
      <w:footerReference r:id="rId6" w:type="even"/>
      <w:pgSz w:w="11906" w:h="16838"/>
      <w:pgMar w:top="1134" w:right="1134" w:bottom="993"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883C5"/>
    <w:multiLevelType w:val="singleLevel"/>
    <w:tmpl w:val="8BD883C5"/>
    <w:lvl w:ilvl="0" w:tentative="0">
      <w:start w:val="1"/>
      <w:numFmt w:val="decimal"/>
      <w:suff w:val="space"/>
      <w:lvlText w:val="%1."/>
      <w:lvlJc w:val="left"/>
    </w:lvl>
  </w:abstractNum>
  <w:abstractNum w:abstractNumId="1">
    <w:nsid w:val="F1805C77"/>
    <w:multiLevelType w:val="singleLevel"/>
    <w:tmpl w:val="F1805C77"/>
    <w:lvl w:ilvl="0" w:tentative="0">
      <w:start w:val="1"/>
      <w:numFmt w:val="chineseCounting"/>
      <w:suff w:val="space"/>
      <w:lvlText w:val="第%1章"/>
      <w:lvlJc w:val="left"/>
      <w:rPr>
        <w:rFonts w:hint="eastAsia"/>
      </w:rPr>
    </w:lvl>
  </w:abstractNum>
  <w:abstractNum w:abstractNumId="2">
    <w:nsid w:val="53339E38"/>
    <w:multiLevelType w:val="singleLevel"/>
    <w:tmpl w:val="53339E38"/>
    <w:lvl w:ilvl="0" w:tentative="0">
      <w:start w:val="2"/>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B"/>
    <w:rsid w:val="00014C0B"/>
    <w:rsid w:val="000165E8"/>
    <w:rsid w:val="0001786D"/>
    <w:rsid w:val="000213D6"/>
    <w:rsid w:val="00021978"/>
    <w:rsid w:val="00021FDB"/>
    <w:rsid w:val="00022898"/>
    <w:rsid w:val="000234BF"/>
    <w:rsid w:val="000420C3"/>
    <w:rsid w:val="00050678"/>
    <w:rsid w:val="000659D3"/>
    <w:rsid w:val="00075B16"/>
    <w:rsid w:val="00084EE5"/>
    <w:rsid w:val="00084FFE"/>
    <w:rsid w:val="00087686"/>
    <w:rsid w:val="00094A81"/>
    <w:rsid w:val="00097A75"/>
    <w:rsid w:val="000A3AC6"/>
    <w:rsid w:val="000A3FDD"/>
    <w:rsid w:val="000B25CC"/>
    <w:rsid w:val="000B2789"/>
    <w:rsid w:val="000B2D4B"/>
    <w:rsid w:val="000C2018"/>
    <w:rsid w:val="000C78D9"/>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5BB1"/>
    <w:rsid w:val="001528FC"/>
    <w:rsid w:val="0016592E"/>
    <w:rsid w:val="00170C3E"/>
    <w:rsid w:val="00172A27"/>
    <w:rsid w:val="00174A7E"/>
    <w:rsid w:val="00175F33"/>
    <w:rsid w:val="001864AE"/>
    <w:rsid w:val="00194177"/>
    <w:rsid w:val="001945A6"/>
    <w:rsid w:val="0019511E"/>
    <w:rsid w:val="001B186F"/>
    <w:rsid w:val="001B7B7D"/>
    <w:rsid w:val="001C05DF"/>
    <w:rsid w:val="001C08D7"/>
    <w:rsid w:val="001C3876"/>
    <w:rsid w:val="001D643B"/>
    <w:rsid w:val="001D7BBB"/>
    <w:rsid w:val="001E7E0A"/>
    <w:rsid w:val="001F0105"/>
    <w:rsid w:val="001F42F5"/>
    <w:rsid w:val="001F6C86"/>
    <w:rsid w:val="00214FA3"/>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B0EF1"/>
    <w:rsid w:val="002B14E1"/>
    <w:rsid w:val="002C4D49"/>
    <w:rsid w:val="002D0D7A"/>
    <w:rsid w:val="002D5AC5"/>
    <w:rsid w:val="002E2179"/>
    <w:rsid w:val="002E2568"/>
    <w:rsid w:val="002F7811"/>
    <w:rsid w:val="003040CC"/>
    <w:rsid w:val="003049CD"/>
    <w:rsid w:val="003178B7"/>
    <w:rsid w:val="00326D36"/>
    <w:rsid w:val="00327180"/>
    <w:rsid w:val="00336FC3"/>
    <w:rsid w:val="003378EC"/>
    <w:rsid w:val="00344DAE"/>
    <w:rsid w:val="00344FCA"/>
    <w:rsid w:val="0034742D"/>
    <w:rsid w:val="00353992"/>
    <w:rsid w:val="00371780"/>
    <w:rsid w:val="00375192"/>
    <w:rsid w:val="00376B9C"/>
    <w:rsid w:val="003802B8"/>
    <w:rsid w:val="00384173"/>
    <w:rsid w:val="003939ED"/>
    <w:rsid w:val="00395C88"/>
    <w:rsid w:val="00397239"/>
    <w:rsid w:val="003A0387"/>
    <w:rsid w:val="003A5AAA"/>
    <w:rsid w:val="003B08F5"/>
    <w:rsid w:val="003B1363"/>
    <w:rsid w:val="003B294F"/>
    <w:rsid w:val="003C36C2"/>
    <w:rsid w:val="003E1F6E"/>
    <w:rsid w:val="003F592E"/>
    <w:rsid w:val="003F7E58"/>
    <w:rsid w:val="0040477A"/>
    <w:rsid w:val="00404A4E"/>
    <w:rsid w:val="00416BE6"/>
    <w:rsid w:val="00417498"/>
    <w:rsid w:val="004175C2"/>
    <w:rsid w:val="00430886"/>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3A7B"/>
    <w:rsid w:val="00514FC5"/>
    <w:rsid w:val="005219C2"/>
    <w:rsid w:val="005312BA"/>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507E0"/>
    <w:rsid w:val="0065377D"/>
    <w:rsid w:val="00662D1F"/>
    <w:rsid w:val="006645D6"/>
    <w:rsid w:val="00667990"/>
    <w:rsid w:val="006774A8"/>
    <w:rsid w:val="006801F9"/>
    <w:rsid w:val="00684696"/>
    <w:rsid w:val="0068693F"/>
    <w:rsid w:val="0068790F"/>
    <w:rsid w:val="00687A2B"/>
    <w:rsid w:val="00691631"/>
    <w:rsid w:val="006A3074"/>
    <w:rsid w:val="006B7FEF"/>
    <w:rsid w:val="006C16EA"/>
    <w:rsid w:val="006C7C4E"/>
    <w:rsid w:val="006D11FC"/>
    <w:rsid w:val="006D7945"/>
    <w:rsid w:val="006F5BE3"/>
    <w:rsid w:val="00702EF8"/>
    <w:rsid w:val="0070690D"/>
    <w:rsid w:val="007106F0"/>
    <w:rsid w:val="00724AF1"/>
    <w:rsid w:val="00724E8B"/>
    <w:rsid w:val="0073172B"/>
    <w:rsid w:val="00740DDB"/>
    <w:rsid w:val="00741D38"/>
    <w:rsid w:val="00760E21"/>
    <w:rsid w:val="007637C4"/>
    <w:rsid w:val="00773371"/>
    <w:rsid w:val="0077492F"/>
    <w:rsid w:val="00775B73"/>
    <w:rsid w:val="007966A4"/>
    <w:rsid w:val="00796702"/>
    <w:rsid w:val="00796D0F"/>
    <w:rsid w:val="007B2AB7"/>
    <w:rsid w:val="007D0BF1"/>
    <w:rsid w:val="007D3091"/>
    <w:rsid w:val="007D73AB"/>
    <w:rsid w:val="007D7971"/>
    <w:rsid w:val="007E049A"/>
    <w:rsid w:val="007F3CAC"/>
    <w:rsid w:val="00803865"/>
    <w:rsid w:val="0080515B"/>
    <w:rsid w:val="00810A59"/>
    <w:rsid w:val="00814BC6"/>
    <w:rsid w:val="00816907"/>
    <w:rsid w:val="008222ED"/>
    <w:rsid w:val="00831571"/>
    <w:rsid w:val="008616DF"/>
    <w:rsid w:val="00871196"/>
    <w:rsid w:val="00874078"/>
    <w:rsid w:val="00894F0B"/>
    <w:rsid w:val="00895AD2"/>
    <w:rsid w:val="0089662F"/>
    <w:rsid w:val="00897B30"/>
    <w:rsid w:val="008A48C9"/>
    <w:rsid w:val="008A4A96"/>
    <w:rsid w:val="008A5483"/>
    <w:rsid w:val="008B0B9C"/>
    <w:rsid w:val="008B0C6B"/>
    <w:rsid w:val="008B1B70"/>
    <w:rsid w:val="008C1588"/>
    <w:rsid w:val="008C16F2"/>
    <w:rsid w:val="008D4EFB"/>
    <w:rsid w:val="008D4FF4"/>
    <w:rsid w:val="008D5186"/>
    <w:rsid w:val="008E3847"/>
    <w:rsid w:val="008E7049"/>
    <w:rsid w:val="008F2B7A"/>
    <w:rsid w:val="008F3997"/>
    <w:rsid w:val="008F3D86"/>
    <w:rsid w:val="008F6E41"/>
    <w:rsid w:val="0093117A"/>
    <w:rsid w:val="00934B76"/>
    <w:rsid w:val="009419BE"/>
    <w:rsid w:val="00943D72"/>
    <w:rsid w:val="0094598D"/>
    <w:rsid w:val="00946BD1"/>
    <w:rsid w:val="009560ED"/>
    <w:rsid w:val="00963B45"/>
    <w:rsid w:val="00970B8D"/>
    <w:rsid w:val="0098211D"/>
    <w:rsid w:val="009832F2"/>
    <w:rsid w:val="00997F53"/>
    <w:rsid w:val="009A0F26"/>
    <w:rsid w:val="009A1462"/>
    <w:rsid w:val="009A1986"/>
    <w:rsid w:val="009A2AD0"/>
    <w:rsid w:val="009B190C"/>
    <w:rsid w:val="009B7D5D"/>
    <w:rsid w:val="009D79C0"/>
    <w:rsid w:val="009E1DD4"/>
    <w:rsid w:val="009E48F2"/>
    <w:rsid w:val="009F0B93"/>
    <w:rsid w:val="00A00868"/>
    <w:rsid w:val="00A008BF"/>
    <w:rsid w:val="00A0345C"/>
    <w:rsid w:val="00A11829"/>
    <w:rsid w:val="00A2070B"/>
    <w:rsid w:val="00A2343E"/>
    <w:rsid w:val="00A274AF"/>
    <w:rsid w:val="00A31789"/>
    <w:rsid w:val="00A32ADC"/>
    <w:rsid w:val="00A4053F"/>
    <w:rsid w:val="00A42A79"/>
    <w:rsid w:val="00A64A3A"/>
    <w:rsid w:val="00A715C9"/>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4A8B"/>
    <w:rsid w:val="00B17790"/>
    <w:rsid w:val="00B22E2E"/>
    <w:rsid w:val="00B37273"/>
    <w:rsid w:val="00B40D7F"/>
    <w:rsid w:val="00B47901"/>
    <w:rsid w:val="00B54F71"/>
    <w:rsid w:val="00B61EC5"/>
    <w:rsid w:val="00B661B5"/>
    <w:rsid w:val="00B70827"/>
    <w:rsid w:val="00B75590"/>
    <w:rsid w:val="00B76A7F"/>
    <w:rsid w:val="00B81566"/>
    <w:rsid w:val="00B87985"/>
    <w:rsid w:val="00B92666"/>
    <w:rsid w:val="00BA2FF1"/>
    <w:rsid w:val="00BA4510"/>
    <w:rsid w:val="00BC2E5A"/>
    <w:rsid w:val="00BC3DB9"/>
    <w:rsid w:val="00BC6754"/>
    <w:rsid w:val="00BE5194"/>
    <w:rsid w:val="00BE71FD"/>
    <w:rsid w:val="00BF2950"/>
    <w:rsid w:val="00BF4166"/>
    <w:rsid w:val="00BF4475"/>
    <w:rsid w:val="00BF562C"/>
    <w:rsid w:val="00BF5BF3"/>
    <w:rsid w:val="00C00CD4"/>
    <w:rsid w:val="00C04A9C"/>
    <w:rsid w:val="00C10B24"/>
    <w:rsid w:val="00C11731"/>
    <w:rsid w:val="00C16E24"/>
    <w:rsid w:val="00C20870"/>
    <w:rsid w:val="00C40D1F"/>
    <w:rsid w:val="00C40D82"/>
    <w:rsid w:val="00C52E70"/>
    <w:rsid w:val="00C62701"/>
    <w:rsid w:val="00C666D8"/>
    <w:rsid w:val="00C907F8"/>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10CE"/>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939"/>
    <w:rsid w:val="00D6779B"/>
    <w:rsid w:val="00D67E4A"/>
    <w:rsid w:val="00D81BDC"/>
    <w:rsid w:val="00D85968"/>
    <w:rsid w:val="00D919B0"/>
    <w:rsid w:val="00DB3B47"/>
    <w:rsid w:val="00DB4F40"/>
    <w:rsid w:val="00DC20BD"/>
    <w:rsid w:val="00DC7EEA"/>
    <w:rsid w:val="00DD00B1"/>
    <w:rsid w:val="00DD46F0"/>
    <w:rsid w:val="00DE1EC2"/>
    <w:rsid w:val="00DE3C11"/>
    <w:rsid w:val="00DE46E4"/>
    <w:rsid w:val="00DE720B"/>
    <w:rsid w:val="00DE7E52"/>
    <w:rsid w:val="00DF395E"/>
    <w:rsid w:val="00DF4E55"/>
    <w:rsid w:val="00E166D6"/>
    <w:rsid w:val="00E217D6"/>
    <w:rsid w:val="00E26E93"/>
    <w:rsid w:val="00E278F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F021B"/>
    <w:rsid w:val="00EF5F4C"/>
    <w:rsid w:val="00F01CD7"/>
    <w:rsid w:val="00F127D8"/>
    <w:rsid w:val="00F20A3D"/>
    <w:rsid w:val="00F21BA9"/>
    <w:rsid w:val="00F22370"/>
    <w:rsid w:val="00F259D8"/>
    <w:rsid w:val="00F27DD6"/>
    <w:rsid w:val="00F304D4"/>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1152631"/>
    <w:rsid w:val="06F71A85"/>
    <w:rsid w:val="093E5AC9"/>
    <w:rsid w:val="0BCB12A2"/>
    <w:rsid w:val="0BE26E01"/>
    <w:rsid w:val="0FFD6F09"/>
    <w:rsid w:val="11CB4DEB"/>
    <w:rsid w:val="120E326A"/>
    <w:rsid w:val="12647DA4"/>
    <w:rsid w:val="126C438B"/>
    <w:rsid w:val="14B13368"/>
    <w:rsid w:val="158E7F68"/>
    <w:rsid w:val="17986E3A"/>
    <w:rsid w:val="19914E61"/>
    <w:rsid w:val="1A6D3C4F"/>
    <w:rsid w:val="1A8433FC"/>
    <w:rsid w:val="1CCD679A"/>
    <w:rsid w:val="1D881C43"/>
    <w:rsid w:val="1ED614FA"/>
    <w:rsid w:val="1F86331E"/>
    <w:rsid w:val="2087491A"/>
    <w:rsid w:val="21D35327"/>
    <w:rsid w:val="22F11AEE"/>
    <w:rsid w:val="254E06BA"/>
    <w:rsid w:val="26BE5D28"/>
    <w:rsid w:val="286C58BE"/>
    <w:rsid w:val="28E23044"/>
    <w:rsid w:val="29661F07"/>
    <w:rsid w:val="2A9C6EEC"/>
    <w:rsid w:val="2ADA7C83"/>
    <w:rsid w:val="2BDE08AB"/>
    <w:rsid w:val="2C3D3BAC"/>
    <w:rsid w:val="2DAB213F"/>
    <w:rsid w:val="2DFE6E40"/>
    <w:rsid w:val="2F7F75EC"/>
    <w:rsid w:val="2FBF2B80"/>
    <w:rsid w:val="31BD0834"/>
    <w:rsid w:val="33F57B82"/>
    <w:rsid w:val="34A35D1A"/>
    <w:rsid w:val="35BA0AE7"/>
    <w:rsid w:val="364D440B"/>
    <w:rsid w:val="376B5E99"/>
    <w:rsid w:val="3A192E05"/>
    <w:rsid w:val="3BB9293A"/>
    <w:rsid w:val="3E88041A"/>
    <w:rsid w:val="3EF90969"/>
    <w:rsid w:val="40ED4A64"/>
    <w:rsid w:val="428D77F2"/>
    <w:rsid w:val="4895763F"/>
    <w:rsid w:val="496F6301"/>
    <w:rsid w:val="4B424CA5"/>
    <w:rsid w:val="51351A7F"/>
    <w:rsid w:val="532C6FDD"/>
    <w:rsid w:val="547E6A32"/>
    <w:rsid w:val="56351C90"/>
    <w:rsid w:val="58E93FFB"/>
    <w:rsid w:val="59CD4FF3"/>
    <w:rsid w:val="5BB97920"/>
    <w:rsid w:val="5C136434"/>
    <w:rsid w:val="5DB7707A"/>
    <w:rsid w:val="661531BC"/>
    <w:rsid w:val="665006EC"/>
    <w:rsid w:val="67BF7833"/>
    <w:rsid w:val="684320CC"/>
    <w:rsid w:val="6B134B4A"/>
    <w:rsid w:val="6B192689"/>
    <w:rsid w:val="6DCB1C9D"/>
    <w:rsid w:val="6F5327B9"/>
    <w:rsid w:val="70C0078A"/>
    <w:rsid w:val="74536E18"/>
    <w:rsid w:val="747334AA"/>
    <w:rsid w:val="76C11BDF"/>
    <w:rsid w:val="77875843"/>
    <w:rsid w:val="782B5E11"/>
    <w:rsid w:val="7C945346"/>
    <w:rsid w:val="7E8F6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next w:val="1"/>
    <w:link w:val="20"/>
    <w:qFormat/>
    <w:uiPriority w:val="0"/>
    <w:pPr>
      <w:keepNext/>
      <w:keepLines/>
      <w:spacing w:before="260" w:after="260" w:line="413" w:lineRule="auto"/>
      <w:jc w:val="center"/>
      <w:outlineLvl w:val="2"/>
    </w:pPr>
    <w:rPr>
      <w:rFonts w:ascii="宋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ind w:firstLine="560" w:firstLineChars="200"/>
    </w:pPr>
    <w:rPr>
      <w:sz w:val="28"/>
    </w:rPr>
  </w:style>
  <w:style w:type="paragraph" w:styleId="6">
    <w:name w:val="Plain Text"/>
    <w:basedOn w:val="1"/>
    <w:qFormat/>
    <w:uiPriority w:val="0"/>
    <w:rPr>
      <w:rFonts w:ascii="宋体" w:hAnsi="Courier New"/>
      <w:spacing w:val="-20"/>
      <w:w w:val="50"/>
      <w:szCs w:val="20"/>
    </w:rPr>
  </w:style>
  <w:style w:type="paragraph" w:styleId="7">
    <w:name w:val="Date"/>
    <w:basedOn w:val="1"/>
    <w:next w:val="1"/>
    <w:link w:val="19"/>
    <w:qFormat/>
    <w:uiPriority w:val="0"/>
    <w:rPr>
      <w:b/>
      <w:sz w:val="28"/>
    </w:rPr>
  </w:style>
  <w:style w:type="paragraph" w:styleId="8">
    <w:name w:val="Balloon Text"/>
    <w:basedOn w:val="1"/>
    <w:link w:val="26"/>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3">
    <w:name w:val="Table Grid"/>
    <w:basedOn w:val="12"/>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annotation reference"/>
    <w:basedOn w:val="14"/>
    <w:unhideWhenUsed/>
    <w:qFormat/>
    <w:uiPriority w:val="99"/>
    <w:rPr>
      <w:sz w:val="21"/>
      <w:szCs w:val="21"/>
    </w:rPr>
  </w:style>
  <w:style w:type="character" w:customStyle="1" w:styleId="18">
    <w:name w:val="apple-converted-space"/>
    <w:basedOn w:val="14"/>
    <w:qFormat/>
    <w:uiPriority w:val="0"/>
  </w:style>
  <w:style w:type="character" w:customStyle="1" w:styleId="19">
    <w:name w:val="日期 Char"/>
    <w:link w:val="7"/>
    <w:qFormat/>
    <w:uiPriority w:val="0"/>
    <w:rPr>
      <w:rFonts w:eastAsia="宋体"/>
      <w:b/>
      <w:kern w:val="2"/>
      <w:sz w:val="28"/>
      <w:lang w:val="en-US" w:eastAsia="zh-CN" w:bidi="ar-SA"/>
    </w:rPr>
  </w:style>
  <w:style w:type="character" w:customStyle="1" w:styleId="20">
    <w:name w:val="标题 3 Char"/>
    <w:basedOn w:val="14"/>
    <w:link w:val="3"/>
    <w:qFormat/>
    <w:uiPriority w:val="0"/>
    <w:rPr>
      <w:rFonts w:ascii="宋体" w:eastAsia="宋体"/>
      <w:b/>
      <w:bCs/>
      <w:kern w:val="2"/>
      <w:sz w:val="32"/>
      <w:szCs w:val="32"/>
      <w:lang w:val="en-US" w:eastAsia="zh-CN" w:bidi="ar-SA"/>
    </w:r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p0"/>
    <w:basedOn w:val="1"/>
    <w:qFormat/>
    <w:uiPriority w:val="0"/>
    <w:pPr>
      <w:widowControl/>
    </w:pPr>
    <w:rPr>
      <w:kern w:val="0"/>
      <w:szCs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4">
    <w:name w:val="List Paragraph"/>
    <w:basedOn w:val="1"/>
    <w:qFormat/>
    <w:uiPriority w:val="34"/>
    <w:pPr>
      <w:ind w:firstLine="420" w:firstLineChars="200"/>
    </w:pPr>
  </w:style>
  <w:style w:type="paragraph" w:customStyle="1" w:styleId="25">
    <w:name w:val="Char"/>
    <w:basedOn w:val="1"/>
    <w:qFormat/>
    <w:uiPriority w:val="0"/>
    <w:rPr>
      <w:szCs w:val="20"/>
    </w:rPr>
  </w:style>
  <w:style w:type="character" w:customStyle="1" w:styleId="26">
    <w:name w:val="批注框文本 Char"/>
    <w:basedOn w:val="14"/>
    <w:link w:val="8"/>
    <w:semiHidden/>
    <w:qFormat/>
    <w:uiPriority w:val="99"/>
    <w:rPr>
      <w:kern w:val="2"/>
      <w:sz w:val="18"/>
      <w:szCs w:val="18"/>
    </w:rPr>
  </w:style>
  <w:style w:type="paragraph" w:customStyle="1" w:styleId="27">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92371-159D-4228-A2E4-719004A4CA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1164</Words>
  <Characters>6635</Characters>
  <Lines>55</Lines>
  <Paragraphs>15</Paragraphs>
  <TotalTime>7</TotalTime>
  <ScaleCrop>false</ScaleCrop>
  <LinksUpToDate>false</LinksUpToDate>
  <CharactersWithSpaces>7784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2019-09-26T07:19:00Z</cp:lastPrinted>
  <dcterms:modified xsi:type="dcterms:W3CDTF">2019-11-20T01:20:14Z</dcterms:modified>
  <dc:title>安徽百大合家福连锁超市股份有限公司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