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center"/>
        <w:rPr>
          <w:rFonts w:ascii="楷体_GB2312" w:hAnsi="宋体" w:eastAsia="楷体_GB2312" w:cs="宋体"/>
          <w:b/>
          <w:color w:val="000000"/>
          <w:kern w:val="0"/>
          <w:sz w:val="72"/>
          <w:szCs w:val="20"/>
        </w:rPr>
      </w:pPr>
    </w:p>
    <w:p>
      <w:pPr>
        <w:widowControl/>
        <w:spacing w:line="520" w:lineRule="exact"/>
        <w:jc w:val="center"/>
        <w:rPr>
          <w:rFonts w:ascii="楷体_GB2312" w:hAnsi="宋体" w:eastAsia="楷体_GB2312" w:cs="宋体"/>
          <w:b/>
          <w:color w:val="000000"/>
          <w:kern w:val="0"/>
          <w:sz w:val="72"/>
          <w:szCs w:val="20"/>
        </w:rPr>
      </w:pPr>
    </w:p>
    <w:p>
      <w:pPr>
        <w:widowControl/>
        <w:spacing w:line="520" w:lineRule="exact"/>
        <w:jc w:val="center"/>
        <w:rPr>
          <w:rFonts w:ascii="楷体_GB2312" w:hAnsi="宋体" w:eastAsia="楷体_GB2312" w:cs="宋体"/>
          <w:b/>
          <w:color w:val="000000"/>
          <w:kern w:val="0"/>
          <w:sz w:val="72"/>
          <w:szCs w:val="20"/>
        </w:rPr>
      </w:pPr>
    </w:p>
    <w:p>
      <w:pPr>
        <w:widowControl/>
        <w:spacing w:line="520" w:lineRule="exact"/>
        <w:jc w:val="center"/>
        <w:rPr>
          <w:rFonts w:ascii="楷体_GB2312" w:hAnsi="宋体" w:eastAsia="楷体_GB2312" w:cs="宋体"/>
          <w:b/>
          <w:color w:val="000000"/>
          <w:kern w:val="0"/>
          <w:sz w:val="44"/>
          <w:szCs w:val="44"/>
        </w:rPr>
      </w:pPr>
      <w:r>
        <w:rPr>
          <w:rFonts w:hint="eastAsia" w:ascii="楷体_GB2312" w:hAnsi="宋体" w:eastAsia="楷体_GB2312" w:cs="宋体"/>
          <w:b/>
          <w:color w:val="000000"/>
          <w:kern w:val="0"/>
          <w:sz w:val="44"/>
          <w:szCs w:val="44"/>
        </w:rPr>
        <w:t>合肥百货大楼集团股份有限公司</w:t>
      </w:r>
    </w:p>
    <w:p>
      <w:pPr>
        <w:widowControl/>
        <w:spacing w:line="520" w:lineRule="exact"/>
        <w:jc w:val="center"/>
        <w:rPr>
          <w:rFonts w:ascii="宋体" w:hAnsi="宋体" w:cs="宋体"/>
          <w:color w:val="000000"/>
          <w:kern w:val="0"/>
          <w:sz w:val="24"/>
        </w:rPr>
      </w:pPr>
      <w:r>
        <w:rPr>
          <w:rFonts w:ascii="宋体" w:hAnsi="宋体" w:cs="宋体"/>
          <w:color w:val="000000"/>
          <w:kern w:val="0"/>
          <w:sz w:val="24"/>
        </w:rPr>
        <w:t> </w:t>
      </w:r>
    </w:p>
    <w:p>
      <w:pPr>
        <w:widowControl/>
        <w:spacing w:line="520" w:lineRule="exact"/>
        <w:jc w:val="center"/>
        <w:rPr>
          <w:rFonts w:ascii="楷体_GB2312" w:hAnsi="宋体" w:eastAsia="楷体_GB2312" w:cs="宋体"/>
          <w:b/>
          <w:color w:val="000000"/>
          <w:kern w:val="0"/>
          <w:sz w:val="36"/>
          <w:szCs w:val="36"/>
        </w:rPr>
      </w:pPr>
      <w:r>
        <w:rPr>
          <w:rFonts w:hint="eastAsia" w:ascii="宋体" w:hAnsi="宋体" w:cs="宋体"/>
          <w:b/>
          <w:kern w:val="0"/>
          <w:sz w:val="36"/>
          <w:szCs w:val="36"/>
        </w:rPr>
        <w:t>2019-2021年度电气预防性试验服务</w:t>
      </w: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r>
        <w:rPr>
          <w:rFonts w:hint="eastAsia" w:ascii="黑体" w:hAnsi="宋体" w:eastAsia="黑体" w:cs="宋体"/>
          <w:b/>
          <w:color w:val="000000"/>
          <w:kern w:val="0"/>
          <w:sz w:val="52"/>
          <w:szCs w:val="52"/>
        </w:rPr>
        <w:t>招　 标 　文　 件</w:t>
      </w:r>
    </w:p>
    <w:p>
      <w:pPr>
        <w:widowControl/>
        <w:spacing w:line="520" w:lineRule="exact"/>
        <w:jc w:val="center"/>
        <w:rPr>
          <w:rFonts w:ascii="楷体_GB2312" w:hAnsi="宋体" w:eastAsia="楷体_GB2312" w:cs="宋体"/>
          <w:b/>
          <w:color w:val="000000"/>
          <w:kern w:val="0"/>
          <w:sz w:val="72"/>
          <w:szCs w:val="20"/>
        </w:rPr>
      </w:pPr>
    </w:p>
    <w:p>
      <w:pPr>
        <w:widowControl/>
        <w:spacing w:line="520" w:lineRule="exact"/>
        <w:ind w:firstLine="2520" w:firstLineChars="700"/>
        <w:jc w:val="left"/>
        <w:rPr>
          <w:rFonts w:ascii="楷体_GB2312" w:hAnsi="宋体" w:eastAsia="楷体_GB2312" w:cs="宋体"/>
          <w:color w:val="000000"/>
          <w:kern w:val="0"/>
          <w:sz w:val="36"/>
          <w:szCs w:val="20"/>
        </w:rPr>
      </w:pPr>
    </w:p>
    <w:p>
      <w:pPr>
        <w:widowControl/>
        <w:spacing w:line="520" w:lineRule="exact"/>
        <w:ind w:firstLine="3520" w:firstLineChars="1100"/>
        <w:jc w:val="left"/>
        <w:rPr>
          <w:rFonts w:ascii="宋体" w:hAnsi="宋体" w:cs="宋体"/>
          <w:bCs/>
          <w:color w:val="000000"/>
          <w:kern w:val="0"/>
          <w:sz w:val="32"/>
          <w:szCs w:val="32"/>
        </w:rPr>
      </w:pPr>
      <w:r>
        <w:rPr>
          <w:rFonts w:hint="eastAsia" w:ascii="宋体" w:hAnsi="宋体" w:cs="宋体"/>
          <w:bCs/>
          <w:color w:val="000000"/>
          <w:kern w:val="0"/>
          <w:sz w:val="32"/>
          <w:szCs w:val="32"/>
        </w:rPr>
        <w:t>编号：HBZ-19</w:t>
      </w:r>
      <w:r>
        <w:rPr>
          <w:rFonts w:hint="eastAsia" w:ascii="宋体" w:hAnsi="宋体" w:cs="宋体"/>
          <w:bCs/>
          <w:color w:val="000000"/>
          <w:kern w:val="0"/>
          <w:sz w:val="32"/>
          <w:szCs w:val="32"/>
          <w:lang w:val="en-US" w:eastAsia="zh-CN"/>
        </w:rPr>
        <w:t>117</w:t>
      </w:r>
      <w:r>
        <w:rPr>
          <w:rFonts w:hint="eastAsia" w:ascii="宋体" w:hAnsi="宋体" w:cs="宋体"/>
          <w:bCs/>
          <w:color w:val="000000"/>
          <w:kern w:val="0"/>
          <w:sz w:val="32"/>
          <w:szCs w:val="32"/>
        </w:rPr>
        <w:t>-JT11</w:t>
      </w:r>
    </w:p>
    <w:p>
      <w:pPr>
        <w:widowControl/>
        <w:spacing w:line="520" w:lineRule="exact"/>
        <w:jc w:val="center"/>
        <w:rPr>
          <w:rFonts w:ascii="楷体_GB2312" w:hAnsi="宋体" w:eastAsia="楷体_GB2312" w:cs="宋体"/>
          <w:b/>
          <w:color w:val="000000"/>
          <w:kern w:val="0"/>
          <w:sz w:val="36"/>
          <w:szCs w:val="20"/>
        </w:rPr>
      </w:pPr>
    </w:p>
    <w:p>
      <w:pPr>
        <w:widowControl/>
        <w:spacing w:line="520" w:lineRule="exact"/>
        <w:jc w:val="center"/>
        <w:rPr>
          <w:rFonts w:ascii="楷体_GB2312" w:hAnsi="宋体" w:eastAsia="楷体_GB2312" w:cs="宋体"/>
          <w:b/>
          <w:color w:val="000000"/>
          <w:kern w:val="0"/>
          <w:sz w:val="36"/>
          <w:szCs w:val="20"/>
        </w:rPr>
      </w:pPr>
    </w:p>
    <w:p>
      <w:pPr>
        <w:widowControl/>
        <w:spacing w:line="520" w:lineRule="exact"/>
        <w:jc w:val="center"/>
        <w:rPr>
          <w:rFonts w:ascii="宋体" w:hAnsi="宋体" w:cs="宋体"/>
          <w:color w:val="000000"/>
          <w:kern w:val="0"/>
          <w:sz w:val="24"/>
        </w:rPr>
      </w:pPr>
      <w:r>
        <w:rPr>
          <w:rFonts w:ascii="宋体" w:hAnsi="宋体" w:cs="宋体"/>
          <w:color w:val="000000"/>
          <w:kern w:val="0"/>
          <w:sz w:val="24"/>
        </w:rPr>
        <w:t>  </w:t>
      </w: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b/>
          <w:color w:val="000000"/>
          <w:kern w:val="0"/>
          <w:sz w:val="32"/>
          <w:szCs w:val="32"/>
        </w:rPr>
      </w:pPr>
      <w:r>
        <w:rPr>
          <w:rFonts w:hint="eastAsia" w:ascii="宋体" w:hAnsi="宋体" w:cs="宋体"/>
          <w:b/>
          <w:color w:val="000000"/>
          <w:kern w:val="0"/>
          <w:sz w:val="32"/>
          <w:szCs w:val="32"/>
        </w:rPr>
        <w:t>文 件 目 录</w:t>
      </w:r>
    </w:p>
    <w:p>
      <w:pPr>
        <w:widowControl/>
        <w:spacing w:line="520" w:lineRule="exact"/>
        <w:ind w:firstLine="1680" w:firstLineChars="600"/>
        <w:rPr>
          <w:rFonts w:ascii="楷体_GB2312" w:hAnsi="宋体" w:eastAsia="楷体_GB2312" w:cs="宋体"/>
          <w:color w:val="000000"/>
          <w:kern w:val="0"/>
          <w:sz w:val="28"/>
          <w:szCs w:val="28"/>
        </w:rPr>
      </w:pP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第一章  《投标邀请》</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第二章  《投标须知》</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第三章  《合同主要条款》</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第四章  《附件》（投标文件格式等）</w:t>
      </w:r>
    </w:p>
    <w:p>
      <w:pPr>
        <w:widowControl/>
        <w:spacing w:line="520" w:lineRule="exact"/>
        <w:jc w:val="center"/>
        <w:rPr>
          <w:rFonts w:ascii="楷体_GB2312" w:hAnsi="宋体" w:eastAsia="楷体_GB2312" w:cs="宋体"/>
          <w:b/>
          <w:color w:val="000000"/>
          <w:kern w:val="0"/>
          <w:sz w:val="36"/>
          <w:szCs w:val="20"/>
        </w:rPr>
      </w:pPr>
      <w:r>
        <w:rPr>
          <w:rFonts w:ascii="宋体" w:hAnsi="宋体" w:cs="宋体"/>
          <w:color w:val="000000"/>
          <w:kern w:val="0"/>
          <w:sz w:val="24"/>
        </w:rPr>
        <w:t> </w:t>
      </w:r>
    </w:p>
    <w:p>
      <w:pPr>
        <w:spacing w:line="500" w:lineRule="exact"/>
        <w:jc w:val="center"/>
        <w:rPr>
          <w:rFonts w:ascii="宋体" w:hAnsi="宋体" w:cs="宋体"/>
          <w:color w:val="000000"/>
          <w:kern w:val="0"/>
          <w:sz w:val="30"/>
          <w:szCs w:val="30"/>
        </w:rPr>
      </w:pPr>
      <w:r>
        <w:rPr>
          <w:rFonts w:hint="eastAsia" w:ascii="宋体" w:hAnsi="宋体" w:cs="宋体"/>
          <w:color w:val="000000"/>
          <w:kern w:val="0"/>
          <w:sz w:val="30"/>
          <w:szCs w:val="30"/>
        </w:rPr>
        <w:t>二〇一九年八月</w:t>
      </w:r>
    </w:p>
    <w:p>
      <w:pPr>
        <w:widowControl/>
        <w:spacing w:line="520" w:lineRule="exact"/>
        <w:jc w:val="center"/>
        <w:rPr>
          <w:rFonts w:ascii="宋体" w:hAnsi="宋体" w:cs="宋体"/>
          <w:b/>
          <w:color w:val="000000"/>
          <w:kern w:val="0"/>
          <w:sz w:val="32"/>
          <w:szCs w:val="32"/>
        </w:rPr>
      </w:pPr>
      <w:r>
        <w:rPr>
          <w:rFonts w:hint="eastAsia" w:ascii="宋体" w:hAnsi="宋体" w:cs="宋体"/>
          <w:b/>
          <w:color w:val="000000"/>
          <w:kern w:val="0"/>
          <w:sz w:val="32"/>
          <w:szCs w:val="32"/>
        </w:rPr>
        <w:t>第一章  投标邀请</w:t>
      </w:r>
    </w:p>
    <w:p>
      <w:pPr>
        <w:widowControl/>
        <w:spacing w:line="460" w:lineRule="exact"/>
        <w:ind w:firstLine="480" w:firstLineChars="200"/>
        <w:rPr>
          <w:rFonts w:ascii="宋体" w:hAnsi="宋体" w:cs="宋体"/>
          <w:color w:val="000000"/>
          <w:kern w:val="0"/>
          <w:sz w:val="24"/>
        </w:rPr>
      </w:pP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ascii="宋体" w:hAnsi="宋体" w:cs="宋体"/>
          <w:color w:val="000000"/>
          <w:kern w:val="0"/>
          <w:sz w:val="24"/>
        </w:rPr>
      </w:pPr>
      <w:r>
        <w:rPr>
          <w:rFonts w:hint="eastAsia" w:ascii="宋体" w:hAnsi="宋体" w:cs="宋体"/>
          <w:color w:val="000000"/>
          <w:kern w:val="0"/>
          <w:sz w:val="24"/>
        </w:rPr>
        <w:t>合肥百货大楼集团股份有限公司（以下简称：百大集团）现对下属各子公司电气预防性试验服务进行公开招标，诚邀具有相关资质的专业公司参与竞标。</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宋体" w:hAnsi="宋体" w:cs="宋体"/>
          <w:b/>
          <w:color w:val="000000"/>
          <w:kern w:val="0"/>
          <w:sz w:val="24"/>
        </w:rPr>
      </w:pPr>
      <w:r>
        <w:rPr>
          <w:rFonts w:hint="eastAsia" w:ascii="宋体" w:hAnsi="宋体" w:cs="宋体"/>
          <w:b/>
          <w:color w:val="000000"/>
          <w:spacing w:val="-10"/>
          <w:kern w:val="0"/>
          <w:sz w:val="24"/>
        </w:rPr>
        <w:t>一、</w:t>
      </w:r>
      <w:r>
        <w:rPr>
          <w:rFonts w:hint="eastAsia" w:ascii="宋体" w:hAnsi="宋体" w:cs="宋体"/>
          <w:b/>
          <w:color w:val="000000"/>
          <w:kern w:val="0"/>
          <w:sz w:val="24"/>
        </w:rPr>
        <w:t>招标简介</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ascii="宋体" w:hAnsi="宋体" w:cs="宋体"/>
          <w:color w:val="000000"/>
          <w:kern w:val="0"/>
          <w:sz w:val="24"/>
        </w:rPr>
      </w:pPr>
      <w:r>
        <w:rPr>
          <w:rFonts w:hint="eastAsia" w:ascii="宋体" w:hAnsi="宋体" w:cs="宋体"/>
          <w:color w:val="000000"/>
          <w:kern w:val="0"/>
          <w:sz w:val="24"/>
        </w:rPr>
        <w:t>1.项目名称：</w:t>
      </w:r>
      <w:bookmarkStart w:id="0" w:name="_GoBack"/>
      <w:r>
        <w:rPr>
          <w:rFonts w:hint="eastAsia" w:ascii="宋体" w:hAnsi="宋体" w:cs="宋体"/>
          <w:color w:val="000000"/>
          <w:kern w:val="0"/>
          <w:sz w:val="24"/>
        </w:rPr>
        <w:t>百大集团2019-2021年度电气预防性试验服务</w:t>
      </w:r>
      <w:bookmarkEnd w:id="0"/>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ascii="宋体" w:hAnsi="宋体" w:cs="宋体"/>
          <w:color w:val="000000"/>
          <w:kern w:val="0"/>
          <w:sz w:val="24"/>
        </w:rPr>
      </w:pPr>
      <w:r>
        <w:rPr>
          <w:rFonts w:hint="eastAsia" w:ascii="宋体" w:hAnsi="宋体" w:cs="宋体"/>
          <w:color w:val="000000"/>
          <w:kern w:val="0"/>
          <w:sz w:val="24"/>
        </w:rPr>
        <w:t>2.项目编号：HBZ-19</w:t>
      </w:r>
      <w:r>
        <w:rPr>
          <w:rFonts w:hint="eastAsia" w:ascii="宋体" w:hAnsi="宋体" w:cs="宋体"/>
          <w:color w:val="000000"/>
          <w:kern w:val="0"/>
          <w:sz w:val="24"/>
          <w:lang w:val="en-US" w:eastAsia="zh-CN"/>
        </w:rPr>
        <w:t>117</w:t>
      </w:r>
      <w:r>
        <w:rPr>
          <w:rFonts w:hint="eastAsia" w:ascii="宋体" w:hAnsi="宋体" w:cs="宋体"/>
          <w:color w:val="000000"/>
          <w:kern w:val="0"/>
          <w:sz w:val="24"/>
        </w:rPr>
        <w:t>-JT11</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ascii="宋体" w:hAnsi="宋体" w:cs="宋体"/>
          <w:color w:val="000000"/>
          <w:kern w:val="0"/>
          <w:sz w:val="24"/>
        </w:rPr>
      </w:pPr>
      <w:r>
        <w:rPr>
          <w:rFonts w:hint="eastAsia" w:ascii="宋体" w:hAnsi="宋体" w:cs="宋体"/>
          <w:color w:val="000000"/>
          <w:kern w:val="0"/>
          <w:sz w:val="24"/>
        </w:rPr>
        <w:t>3.标的内容：详见附件六《服务清单及要求》</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ascii="宋体" w:hAnsi="宋体" w:cs="宋体"/>
          <w:color w:val="000000"/>
          <w:kern w:val="0"/>
          <w:sz w:val="24"/>
        </w:rPr>
      </w:pPr>
      <w:r>
        <w:rPr>
          <w:rFonts w:hint="eastAsia" w:ascii="宋体" w:hAnsi="宋体" w:cs="宋体"/>
          <w:color w:val="000000"/>
          <w:kern w:val="0"/>
          <w:sz w:val="24"/>
        </w:rPr>
        <w:t>4.项目概算：</w:t>
      </w:r>
      <w:r>
        <w:rPr>
          <w:rFonts w:hint="eastAsia" w:ascii="宋体" w:hAnsi="宋体" w:cs="宋体"/>
          <w:bCs/>
          <w:color w:val="000000"/>
          <w:kern w:val="0"/>
          <w:sz w:val="24"/>
        </w:rPr>
        <w:t>137615.56</w:t>
      </w:r>
      <w:r>
        <w:rPr>
          <w:rFonts w:hint="eastAsia" w:ascii="宋体" w:hAnsi="宋体" w:cs="宋体"/>
          <w:color w:val="000000"/>
          <w:kern w:val="0"/>
          <w:sz w:val="24"/>
        </w:rPr>
        <w:t>元</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b/>
          <w:color w:val="000000"/>
          <w:sz w:val="24"/>
        </w:rPr>
      </w:pPr>
      <w:r>
        <w:rPr>
          <w:rFonts w:hint="eastAsia" w:ascii="宋体" w:hAnsi="宋体" w:cs="宋体"/>
          <w:b/>
          <w:color w:val="000000"/>
          <w:kern w:val="0"/>
          <w:sz w:val="24"/>
        </w:rPr>
        <w:t>二、</w:t>
      </w:r>
      <w:r>
        <w:rPr>
          <w:rFonts w:hint="eastAsia"/>
          <w:b/>
          <w:color w:val="000000"/>
          <w:sz w:val="24"/>
        </w:rPr>
        <w:t>标书领取日期及方法</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ascii="宋体" w:hAnsi="宋体" w:cs="宋体"/>
          <w:color w:val="000000"/>
          <w:kern w:val="0"/>
          <w:sz w:val="24"/>
        </w:rPr>
      </w:pPr>
      <w:r>
        <w:rPr>
          <w:rFonts w:hint="eastAsia" w:ascii="宋体" w:hAnsi="宋体" w:cs="宋体"/>
          <w:color w:val="000000"/>
          <w:kern w:val="0"/>
          <w:sz w:val="24"/>
        </w:rPr>
        <w:t>1.领取日期：201</w:t>
      </w:r>
      <w:r>
        <w:rPr>
          <w:rFonts w:hint="eastAsia" w:ascii="宋体" w:hAnsi="宋体" w:cs="宋体"/>
          <w:color w:val="000000"/>
          <w:kern w:val="0"/>
          <w:sz w:val="24"/>
          <w:lang w:val="en-US" w:eastAsia="zh-CN"/>
        </w:rPr>
        <w:t>9</w:t>
      </w:r>
      <w:r>
        <w:rPr>
          <w:rFonts w:hint="eastAsia" w:ascii="宋体" w:hAnsi="宋体" w:cs="宋体"/>
          <w:color w:val="000000"/>
          <w:kern w:val="0"/>
          <w:sz w:val="24"/>
        </w:rPr>
        <w:t>年</w:t>
      </w:r>
      <w:r>
        <w:rPr>
          <w:rFonts w:hint="eastAsia" w:ascii="宋体" w:hAnsi="宋体" w:cs="宋体"/>
          <w:color w:val="000000"/>
          <w:kern w:val="0"/>
          <w:sz w:val="24"/>
          <w:lang w:val="en-US" w:eastAsia="zh-CN"/>
        </w:rPr>
        <w:t>8</w:t>
      </w:r>
      <w:r>
        <w:rPr>
          <w:rFonts w:hint="eastAsia" w:ascii="宋体" w:hAnsi="宋体" w:cs="宋体"/>
          <w:color w:val="000000"/>
          <w:kern w:val="0"/>
          <w:sz w:val="24"/>
        </w:rPr>
        <w:t>月</w:t>
      </w:r>
      <w:r>
        <w:rPr>
          <w:rFonts w:hint="eastAsia" w:ascii="宋体" w:hAnsi="宋体" w:cs="宋体"/>
          <w:color w:val="000000"/>
          <w:kern w:val="0"/>
          <w:sz w:val="24"/>
          <w:lang w:val="en-US" w:eastAsia="zh-CN"/>
        </w:rPr>
        <w:t>19</w:t>
      </w:r>
      <w:r>
        <w:rPr>
          <w:rFonts w:hint="eastAsia" w:ascii="宋体" w:hAnsi="宋体" w:cs="宋体"/>
          <w:color w:val="000000"/>
          <w:kern w:val="0"/>
          <w:sz w:val="24"/>
        </w:rPr>
        <w:t>日—201</w:t>
      </w:r>
      <w:r>
        <w:rPr>
          <w:rFonts w:hint="eastAsia" w:ascii="宋体" w:hAnsi="宋体" w:cs="宋体"/>
          <w:color w:val="000000"/>
          <w:kern w:val="0"/>
          <w:sz w:val="24"/>
          <w:lang w:val="en-US" w:eastAsia="zh-CN"/>
        </w:rPr>
        <w:t>9</w:t>
      </w:r>
      <w:r>
        <w:rPr>
          <w:rFonts w:hint="eastAsia" w:ascii="宋体" w:hAnsi="宋体" w:cs="宋体"/>
          <w:color w:val="000000"/>
          <w:kern w:val="0"/>
          <w:sz w:val="24"/>
        </w:rPr>
        <w:t xml:space="preserve"> 年</w:t>
      </w:r>
      <w:r>
        <w:rPr>
          <w:rFonts w:hint="eastAsia" w:ascii="宋体" w:hAnsi="宋体" w:cs="宋体"/>
          <w:color w:val="000000"/>
          <w:kern w:val="0"/>
          <w:sz w:val="24"/>
          <w:lang w:val="en-US" w:eastAsia="zh-CN"/>
        </w:rPr>
        <w:t>8</w:t>
      </w:r>
      <w:r>
        <w:rPr>
          <w:rFonts w:hint="eastAsia" w:ascii="宋体" w:hAnsi="宋体" w:cs="宋体"/>
          <w:color w:val="000000"/>
          <w:kern w:val="0"/>
          <w:sz w:val="24"/>
        </w:rPr>
        <w:t>月</w:t>
      </w:r>
      <w:r>
        <w:rPr>
          <w:rFonts w:hint="eastAsia" w:ascii="宋体" w:hAnsi="宋体" w:cs="宋体"/>
          <w:color w:val="000000"/>
          <w:kern w:val="0"/>
          <w:sz w:val="24"/>
          <w:lang w:val="en-US" w:eastAsia="zh-CN"/>
        </w:rPr>
        <w:t>27</w:t>
      </w:r>
      <w:r>
        <w:rPr>
          <w:rFonts w:hint="eastAsia" w:ascii="宋体" w:hAnsi="宋体" w:cs="宋体"/>
          <w:color w:val="000000"/>
          <w:kern w:val="0"/>
          <w:sz w:val="24"/>
        </w:rPr>
        <w:t>日</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ascii="宋体" w:hAnsi="宋体" w:cs="宋体"/>
          <w:color w:val="000000"/>
          <w:kern w:val="0"/>
          <w:sz w:val="24"/>
        </w:rPr>
      </w:pPr>
      <w:r>
        <w:rPr>
          <w:rFonts w:hint="eastAsia" w:ascii="宋体" w:hAnsi="宋体" w:cs="宋体"/>
          <w:color w:val="000000"/>
          <w:kern w:val="0"/>
          <w:sz w:val="24"/>
        </w:rPr>
        <w:t>2.领取方法：登录网站</w:t>
      </w:r>
      <w:r>
        <w:fldChar w:fldCharType="begin"/>
      </w:r>
      <w:r>
        <w:instrText xml:space="preserve"> HYPERLINK "http://www.hfbh.com.cn/" </w:instrText>
      </w:r>
      <w:r>
        <w:fldChar w:fldCharType="separate"/>
      </w:r>
      <w:r>
        <w:rPr>
          <w:rFonts w:hint="eastAsia" w:ascii="宋体" w:hAnsi="宋体" w:cs="宋体"/>
          <w:color w:val="000000"/>
          <w:kern w:val="0"/>
          <w:sz w:val="24"/>
        </w:rPr>
        <w:t>www.hfbh.com.cn</w:t>
      </w:r>
      <w:r>
        <w:rPr>
          <w:rFonts w:hint="eastAsia" w:ascii="宋体" w:hAnsi="宋体" w:cs="宋体"/>
          <w:color w:val="000000"/>
          <w:kern w:val="0"/>
          <w:sz w:val="24"/>
        </w:rPr>
        <w:fldChar w:fldCharType="end"/>
      </w:r>
      <w:r>
        <w:rPr>
          <w:rFonts w:hint="eastAsia" w:ascii="宋体" w:hAnsi="宋体" w:cs="宋体"/>
          <w:color w:val="000000"/>
          <w:kern w:val="0"/>
          <w:sz w:val="24"/>
        </w:rPr>
        <w:t>下载标书（下载标书的投标单位按要求参加资格审查）。</w:t>
      </w:r>
    </w:p>
    <w:p>
      <w:pPr>
        <w:keepNext w:val="0"/>
        <w:keepLines w:val="0"/>
        <w:pageBreakBefore w:val="0"/>
        <w:widowControl/>
        <w:kinsoku/>
        <w:wordWrap/>
        <w:overflowPunct/>
        <w:topLinePunct w:val="0"/>
        <w:autoSpaceDE/>
        <w:autoSpaceDN/>
        <w:bidi w:val="0"/>
        <w:adjustRightInd/>
        <w:snapToGrid/>
        <w:spacing w:line="480" w:lineRule="exact"/>
        <w:textAlignment w:val="auto"/>
        <w:rPr>
          <w:rFonts w:ascii="宋体" w:hAnsi="宋体" w:cs="宋体"/>
          <w:b/>
          <w:color w:val="000000"/>
          <w:kern w:val="0"/>
          <w:sz w:val="24"/>
        </w:rPr>
      </w:pPr>
      <w:r>
        <w:rPr>
          <w:rFonts w:hint="eastAsia" w:ascii="宋体" w:hAnsi="宋体" w:cs="宋体"/>
          <w:b/>
          <w:color w:val="000000"/>
          <w:kern w:val="0"/>
          <w:sz w:val="24"/>
        </w:rPr>
        <w:t>三、资格预审时间</w:t>
      </w:r>
    </w:p>
    <w:p>
      <w:pPr>
        <w:keepNext w:val="0"/>
        <w:keepLines w:val="0"/>
        <w:pageBreakBefore w:val="0"/>
        <w:widowControl/>
        <w:kinsoku/>
        <w:wordWrap/>
        <w:overflowPunct/>
        <w:topLinePunct w:val="0"/>
        <w:autoSpaceDE/>
        <w:autoSpaceDN/>
        <w:bidi w:val="0"/>
        <w:adjustRightInd/>
        <w:snapToGrid/>
        <w:spacing w:line="480" w:lineRule="exact"/>
        <w:ind w:firstLine="472" w:firstLineChars="197"/>
        <w:textAlignment w:val="auto"/>
        <w:rPr>
          <w:rFonts w:ascii="宋体" w:hAnsi="宋体"/>
          <w:color w:val="000000"/>
          <w:sz w:val="24"/>
        </w:rPr>
      </w:pPr>
      <w:r>
        <w:rPr>
          <w:rFonts w:hint="eastAsia" w:ascii="宋体" w:hAnsi="宋体"/>
          <w:sz w:val="24"/>
        </w:rPr>
        <w:t>201</w:t>
      </w:r>
      <w:r>
        <w:rPr>
          <w:rFonts w:hint="eastAsia" w:ascii="宋体" w:hAnsi="宋体"/>
          <w:sz w:val="24"/>
          <w:lang w:val="en-US" w:eastAsia="zh-CN"/>
        </w:rPr>
        <w:t>9</w:t>
      </w:r>
      <w:r>
        <w:rPr>
          <w:rFonts w:hint="eastAsia" w:ascii="宋体" w:hAnsi="宋体"/>
          <w:sz w:val="24"/>
        </w:rPr>
        <w:t>年</w:t>
      </w:r>
      <w:r>
        <w:rPr>
          <w:rFonts w:hint="eastAsia" w:ascii="宋体" w:hAnsi="宋体"/>
          <w:sz w:val="24"/>
          <w:lang w:val="en-US" w:eastAsia="zh-CN"/>
        </w:rPr>
        <w:t>8</w:t>
      </w:r>
      <w:r>
        <w:rPr>
          <w:rFonts w:hint="eastAsia" w:ascii="宋体" w:hAnsi="宋体"/>
          <w:sz w:val="24"/>
        </w:rPr>
        <w:t>月</w:t>
      </w:r>
      <w:r>
        <w:rPr>
          <w:rFonts w:hint="eastAsia" w:ascii="宋体" w:hAnsi="宋体"/>
          <w:sz w:val="24"/>
          <w:lang w:val="en-US" w:eastAsia="zh-CN"/>
        </w:rPr>
        <w:t>27</w:t>
      </w:r>
      <w:r>
        <w:rPr>
          <w:rFonts w:hint="eastAsia" w:ascii="宋体" w:hAnsi="宋体"/>
          <w:sz w:val="24"/>
        </w:rPr>
        <w:t>日</w:t>
      </w:r>
      <w:r>
        <w:rPr>
          <w:rFonts w:hint="eastAsia" w:ascii="宋体" w:hAnsi="宋体"/>
          <w:sz w:val="24"/>
          <w:lang w:val="en-US" w:eastAsia="zh-CN"/>
        </w:rPr>
        <w:t>12:00前</w:t>
      </w:r>
      <w:r>
        <w:rPr>
          <w:rFonts w:hint="eastAsia" w:ascii="宋体" w:hAnsi="宋体"/>
          <w:sz w:val="24"/>
          <w:lang w:eastAsia="zh-CN"/>
        </w:rPr>
        <w:t>，</w:t>
      </w:r>
      <w:r>
        <w:rPr>
          <w:rFonts w:hint="eastAsia" w:ascii="宋体" w:hAnsi="宋体"/>
          <w:sz w:val="24"/>
        </w:rPr>
        <w:t>意向投标人应携带招标文件中要求的相关材料（原件查看，复印件留存）送至百大集团招投标管理部（</w:t>
      </w:r>
      <w:r>
        <w:rPr>
          <w:rFonts w:hint="eastAsia" w:ascii="宋体" w:hAnsi="宋体"/>
          <w:color w:val="000000"/>
          <w:sz w:val="24"/>
        </w:rPr>
        <w:t>合肥市黄山路596号合肥百大集团行政楼1206室）接收资格审查，审查合格的投标单位以转账的方式缴纳投标保证金，未按要求参加资格审查的投标单位，招标人有权不接受其投标。</w:t>
      </w:r>
    </w:p>
    <w:p>
      <w:pPr>
        <w:keepNext w:val="0"/>
        <w:keepLines w:val="0"/>
        <w:pageBreakBefore w:val="0"/>
        <w:widowControl/>
        <w:kinsoku/>
        <w:wordWrap/>
        <w:overflowPunct/>
        <w:topLinePunct w:val="0"/>
        <w:autoSpaceDE/>
        <w:autoSpaceDN/>
        <w:bidi w:val="0"/>
        <w:adjustRightInd/>
        <w:snapToGrid/>
        <w:spacing w:line="480" w:lineRule="exact"/>
        <w:textAlignment w:val="auto"/>
        <w:rPr>
          <w:rFonts w:ascii="宋体" w:hAnsi="宋体" w:cs="宋体"/>
          <w:b/>
          <w:color w:val="000000"/>
          <w:kern w:val="0"/>
          <w:sz w:val="24"/>
        </w:rPr>
      </w:pPr>
      <w:r>
        <w:rPr>
          <w:rFonts w:hint="eastAsia" w:ascii="宋体" w:hAnsi="宋体" w:cs="宋体"/>
          <w:b/>
          <w:color w:val="000000"/>
          <w:kern w:val="0"/>
          <w:sz w:val="24"/>
        </w:rPr>
        <w:t xml:space="preserve">四、投标保证金  </w:t>
      </w:r>
    </w:p>
    <w:p>
      <w:pPr>
        <w:keepNext w:val="0"/>
        <w:keepLines w:val="0"/>
        <w:pageBreakBefore w:val="0"/>
        <w:kinsoku/>
        <w:wordWrap/>
        <w:overflowPunct/>
        <w:topLinePunct w:val="0"/>
        <w:autoSpaceDE/>
        <w:autoSpaceDN/>
        <w:bidi w:val="0"/>
        <w:adjustRightInd/>
        <w:snapToGrid/>
        <w:spacing w:line="480" w:lineRule="exact"/>
        <w:ind w:firstLine="360" w:firstLineChars="150"/>
        <w:textAlignment w:val="auto"/>
        <w:rPr>
          <w:rFonts w:ascii="宋体" w:hAnsi="宋体"/>
          <w:color w:val="000000"/>
          <w:kern w:val="0"/>
          <w:sz w:val="24"/>
        </w:rPr>
      </w:pPr>
      <w:r>
        <w:rPr>
          <w:rFonts w:hint="eastAsia" w:ascii="宋体" w:hAnsi="宋体"/>
          <w:color w:val="000000"/>
          <w:kern w:val="0"/>
          <w:sz w:val="24"/>
        </w:rPr>
        <w:t>201</w:t>
      </w:r>
      <w:r>
        <w:rPr>
          <w:rFonts w:hint="eastAsia" w:ascii="宋体" w:hAnsi="宋体"/>
          <w:color w:val="000000"/>
          <w:kern w:val="0"/>
          <w:sz w:val="24"/>
          <w:lang w:val="en-US" w:eastAsia="zh-CN"/>
        </w:rPr>
        <w:t>8</w:t>
      </w:r>
      <w:r>
        <w:rPr>
          <w:rFonts w:hint="eastAsia" w:ascii="宋体" w:hAnsi="宋体"/>
          <w:color w:val="000000"/>
          <w:kern w:val="0"/>
          <w:sz w:val="24"/>
        </w:rPr>
        <w:t>年</w:t>
      </w:r>
      <w:r>
        <w:rPr>
          <w:rFonts w:hint="eastAsia" w:ascii="宋体" w:hAnsi="宋体"/>
          <w:color w:val="000000"/>
          <w:kern w:val="0"/>
          <w:sz w:val="24"/>
          <w:lang w:val="en-US" w:eastAsia="zh-CN"/>
        </w:rPr>
        <w:t>8</w:t>
      </w:r>
      <w:r>
        <w:rPr>
          <w:rFonts w:hint="eastAsia" w:ascii="宋体" w:hAnsi="宋体"/>
          <w:color w:val="000000"/>
          <w:kern w:val="0"/>
          <w:sz w:val="24"/>
        </w:rPr>
        <w:t>月</w:t>
      </w:r>
      <w:r>
        <w:rPr>
          <w:rFonts w:hint="eastAsia" w:ascii="宋体" w:hAnsi="宋体"/>
          <w:color w:val="000000"/>
          <w:kern w:val="0"/>
          <w:sz w:val="24"/>
          <w:lang w:val="en-US" w:eastAsia="zh-CN"/>
        </w:rPr>
        <w:t>27</w:t>
      </w:r>
      <w:r>
        <w:rPr>
          <w:rFonts w:hint="eastAsia" w:ascii="宋体" w:hAnsi="宋体"/>
          <w:color w:val="000000"/>
          <w:kern w:val="0"/>
          <w:sz w:val="24"/>
        </w:rPr>
        <w:t>日</w:t>
      </w:r>
      <w:r>
        <w:rPr>
          <w:rFonts w:hint="eastAsia" w:ascii="宋体" w:hAnsi="宋体"/>
          <w:color w:val="000000"/>
          <w:kern w:val="0"/>
          <w:sz w:val="24"/>
          <w:lang w:val="en-US" w:eastAsia="zh-CN"/>
        </w:rPr>
        <w:t>16:00</w:t>
      </w:r>
      <w:r>
        <w:rPr>
          <w:rFonts w:hint="eastAsia" w:ascii="宋体" w:hAnsi="宋体"/>
          <w:color w:val="000000"/>
          <w:kern w:val="0"/>
          <w:sz w:val="24"/>
        </w:rPr>
        <w:t>前（以实际到账时间为准）通过转账的方式缴纳投标保证金贰仟元整，如中标，该保证金待投标单位缴纳履约保证金后无息退还；如未中标，招标结束后无息退还。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ascii="宋体" w:hAnsi="宋体" w:cs="宋体"/>
          <w:color w:val="000000"/>
          <w:kern w:val="0"/>
          <w:sz w:val="24"/>
          <w:lang w:val="zh-CN"/>
        </w:rPr>
      </w:pPr>
      <w:r>
        <w:rPr>
          <w:rFonts w:hint="eastAsia" w:ascii="宋体" w:hAnsi="宋体" w:cs="宋体"/>
          <w:color w:val="000000"/>
          <w:kern w:val="0"/>
          <w:sz w:val="24"/>
          <w:lang w:val="zh-CN"/>
        </w:rPr>
        <w:t>名  称：合肥百货大楼集团股份有限公司  开户行：建行庐阳区支行</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ascii="宋体" w:hAnsi="宋体" w:cs="宋体"/>
          <w:color w:val="000000"/>
          <w:kern w:val="0"/>
          <w:sz w:val="24"/>
          <w:lang w:val="zh-CN"/>
        </w:rPr>
      </w:pPr>
      <w:r>
        <w:rPr>
          <w:rFonts w:hint="eastAsia" w:ascii="宋体" w:hAnsi="宋体" w:cs="宋体"/>
          <w:color w:val="000000"/>
          <w:kern w:val="0"/>
          <w:sz w:val="24"/>
          <w:lang w:val="zh-CN"/>
        </w:rPr>
        <w:t>账  号：34001464608050026677（转帐时请备注“××项目投标保证金”）</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宋体" w:hAnsi="宋体" w:cs="宋体"/>
          <w:color w:val="000000"/>
          <w:kern w:val="0"/>
          <w:sz w:val="24"/>
        </w:rPr>
      </w:pPr>
      <w:r>
        <w:rPr>
          <w:rFonts w:hint="eastAsia" w:ascii="宋体" w:hAnsi="宋体" w:cs="宋体"/>
          <w:b/>
          <w:color w:val="000000"/>
          <w:kern w:val="0"/>
          <w:sz w:val="24"/>
        </w:rPr>
        <w:t>五、开标时间：</w:t>
      </w:r>
      <w:r>
        <w:rPr>
          <w:rFonts w:hint="eastAsia" w:ascii="宋体" w:hAnsi="宋体" w:cs="宋体"/>
          <w:color w:val="000000"/>
          <w:kern w:val="0"/>
          <w:sz w:val="24"/>
        </w:rPr>
        <w:t>201</w:t>
      </w:r>
      <w:r>
        <w:rPr>
          <w:rFonts w:hint="eastAsia" w:ascii="宋体" w:hAnsi="宋体" w:cs="宋体"/>
          <w:color w:val="000000"/>
          <w:kern w:val="0"/>
          <w:sz w:val="24"/>
          <w:lang w:val="en-US" w:eastAsia="zh-CN"/>
        </w:rPr>
        <w:t>9</w:t>
      </w:r>
      <w:r>
        <w:rPr>
          <w:rFonts w:hint="eastAsia" w:ascii="宋体" w:hAnsi="宋体" w:cs="宋体"/>
          <w:color w:val="000000"/>
          <w:kern w:val="0"/>
          <w:sz w:val="24"/>
        </w:rPr>
        <w:t>年</w:t>
      </w:r>
      <w:r>
        <w:rPr>
          <w:rFonts w:hint="eastAsia" w:ascii="宋体" w:hAnsi="宋体" w:cs="宋体"/>
          <w:color w:val="000000"/>
          <w:kern w:val="0"/>
          <w:sz w:val="24"/>
          <w:lang w:val="en-US" w:eastAsia="zh-CN"/>
        </w:rPr>
        <w:t>8</w:t>
      </w:r>
      <w:r>
        <w:rPr>
          <w:rFonts w:hint="eastAsia" w:ascii="宋体" w:hAnsi="宋体" w:cs="宋体"/>
          <w:color w:val="000000"/>
          <w:kern w:val="0"/>
          <w:sz w:val="24"/>
        </w:rPr>
        <w:t>月</w:t>
      </w:r>
      <w:r>
        <w:rPr>
          <w:rFonts w:hint="eastAsia" w:ascii="宋体" w:hAnsi="宋体" w:cs="宋体"/>
          <w:color w:val="000000"/>
          <w:kern w:val="0"/>
          <w:sz w:val="24"/>
          <w:lang w:val="en-US" w:eastAsia="zh-CN"/>
        </w:rPr>
        <w:t>28</w:t>
      </w:r>
      <w:r>
        <w:rPr>
          <w:rFonts w:hint="eastAsia" w:ascii="宋体" w:hAnsi="宋体" w:cs="宋体"/>
          <w:color w:val="000000"/>
          <w:kern w:val="0"/>
          <w:sz w:val="24"/>
        </w:rPr>
        <w:t>日</w:t>
      </w:r>
      <w:r>
        <w:rPr>
          <w:rFonts w:hint="eastAsia" w:ascii="宋体" w:hAnsi="宋体" w:cs="宋体"/>
          <w:color w:val="000000"/>
          <w:kern w:val="0"/>
          <w:sz w:val="24"/>
          <w:lang w:val="en-US" w:eastAsia="zh-CN"/>
        </w:rPr>
        <w:t>9:00</w:t>
      </w:r>
      <w:r>
        <w:rPr>
          <w:rFonts w:hint="eastAsia" w:ascii="宋体" w:hAnsi="宋体" w:cs="宋体"/>
          <w:color w:val="000000"/>
          <w:kern w:val="0"/>
          <w:sz w:val="24"/>
        </w:rPr>
        <w:t xml:space="preserve"> （如有调整，另行通知）</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ascii="宋体" w:hAnsi="宋体"/>
          <w:color w:val="000000"/>
          <w:sz w:val="24"/>
        </w:rPr>
      </w:pPr>
      <w:r>
        <w:rPr>
          <w:rFonts w:hint="eastAsia" w:ascii="宋体" w:hAnsi="宋体" w:cs="宋体"/>
          <w:b/>
          <w:bCs/>
          <w:color w:val="000000"/>
          <w:kern w:val="0"/>
          <w:sz w:val="24"/>
        </w:rPr>
        <w:t>开标地点</w:t>
      </w:r>
      <w:r>
        <w:rPr>
          <w:rFonts w:hint="eastAsia" w:ascii="宋体" w:hAnsi="宋体" w:cs="宋体"/>
          <w:color w:val="000000"/>
          <w:kern w:val="0"/>
          <w:sz w:val="24"/>
        </w:rPr>
        <w:t>：</w:t>
      </w:r>
      <w:r>
        <w:rPr>
          <w:rFonts w:hint="eastAsia" w:ascii="宋体" w:hAnsi="宋体"/>
          <w:color w:val="000000"/>
          <w:sz w:val="24"/>
        </w:rPr>
        <w:t>合肥市黄山路596号合肥百大集团行政楼1209开标室</w:t>
      </w:r>
    </w:p>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kern w:val="0"/>
          <w:sz w:val="24"/>
        </w:rPr>
      </w:pPr>
      <w:r>
        <w:rPr>
          <w:rFonts w:hint="eastAsia" w:ascii="宋体" w:hAnsi="宋体" w:cs="宋体"/>
          <w:b/>
          <w:color w:val="000000"/>
          <w:kern w:val="0"/>
          <w:sz w:val="24"/>
        </w:rPr>
        <w:t>六、联系方式：</w:t>
      </w:r>
      <w:r>
        <w:rPr>
          <w:rFonts w:hint="eastAsia" w:ascii="宋体" w:hAnsi="宋体"/>
          <w:kern w:val="0"/>
          <w:sz w:val="24"/>
        </w:rPr>
        <w:t>（资质审查）朱  工0551－65771025</w:t>
      </w:r>
    </w:p>
    <w:p>
      <w:pPr>
        <w:keepNext w:val="0"/>
        <w:keepLines w:val="0"/>
        <w:pageBreakBefore w:val="0"/>
        <w:kinsoku/>
        <w:wordWrap/>
        <w:overflowPunct/>
        <w:topLinePunct w:val="0"/>
        <w:autoSpaceDE/>
        <w:autoSpaceDN/>
        <w:bidi w:val="0"/>
        <w:adjustRightInd/>
        <w:snapToGrid/>
        <w:spacing w:line="480" w:lineRule="exact"/>
        <w:ind w:firstLine="960" w:firstLineChars="400"/>
        <w:textAlignment w:val="auto"/>
        <w:rPr>
          <w:rFonts w:ascii="宋体" w:hAnsi="宋体" w:cs="宋体"/>
          <w:color w:val="000000"/>
          <w:kern w:val="0"/>
          <w:sz w:val="24"/>
        </w:rPr>
      </w:pPr>
      <w:r>
        <w:rPr>
          <w:rFonts w:hint="eastAsia" w:ascii="宋体" w:hAnsi="宋体"/>
          <w:kern w:val="0"/>
          <w:sz w:val="24"/>
        </w:rPr>
        <w:t xml:space="preserve">        (项目咨询) 张  工0551－65771036</w:t>
      </w:r>
    </w:p>
    <w:p>
      <w:pPr>
        <w:widowControl/>
        <w:spacing w:line="460" w:lineRule="exact"/>
        <w:ind w:firstLine="643" w:firstLineChars="200"/>
        <w:jc w:val="left"/>
        <w:rPr>
          <w:rFonts w:ascii="宋体" w:hAnsi="宋体" w:cs="宋体"/>
          <w:b/>
          <w:color w:val="000000"/>
          <w:kern w:val="0"/>
          <w:sz w:val="32"/>
          <w:szCs w:val="32"/>
        </w:rPr>
      </w:pPr>
    </w:p>
    <w:p>
      <w:pPr>
        <w:widowControl/>
        <w:spacing w:line="600" w:lineRule="exact"/>
        <w:jc w:val="center"/>
        <w:rPr>
          <w:rFonts w:ascii="宋体" w:hAnsi="宋体" w:cs="宋体"/>
          <w:b/>
          <w:color w:val="000000"/>
          <w:kern w:val="0"/>
          <w:sz w:val="32"/>
          <w:szCs w:val="32"/>
        </w:rPr>
      </w:pPr>
      <w:r>
        <w:rPr>
          <w:rFonts w:hint="eastAsia" w:ascii="宋体" w:hAnsi="宋体" w:cs="宋体"/>
          <w:b/>
          <w:color w:val="000000"/>
          <w:kern w:val="0"/>
          <w:sz w:val="32"/>
          <w:szCs w:val="32"/>
        </w:rPr>
        <w:t>第二章  投标须知</w:t>
      </w:r>
    </w:p>
    <w:p>
      <w:pPr>
        <w:widowControl/>
        <w:spacing w:line="500" w:lineRule="exact"/>
        <w:ind w:left="210" w:leftChars="100"/>
        <w:jc w:val="left"/>
        <w:rPr>
          <w:rFonts w:ascii="宋体" w:hAnsi="宋体" w:cs="宋体"/>
          <w:b/>
          <w:color w:val="000000"/>
          <w:kern w:val="0"/>
          <w:sz w:val="24"/>
        </w:rPr>
      </w:pPr>
      <w:r>
        <w:rPr>
          <w:rFonts w:hint="eastAsia" w:ascii="宋体" w:hAnsi="宋体" w:cs="宋体"/>
          <w:b/>
          <w:color w:val="000000"/>
          <w:kern w:val="0"/>
          <w:sz w:val="24"/>
        </w:rPr>
        <w:t>一、投标人要求</w:t>
      </w:r>
    </w:p>
    <w:p>
      <w:pPr>
        <w:widowControl/>
        <w:spacing w:line="500" w:lineRule="exact"/>
        <w:ind w:firstLine="470" w:firstLineChars="196"/>
        <w:jc w:val="left"/>
        <w:rPr>
          <w:rFonts w:ascii="宋体" w:hAnsi="宋体" w:cs="宋体"/>
          <w:b/>
          <w:color w:val="000000"/>
          <w:kern w:val="0"/>
          <w:sz w:val="24"/>
        </w:rPr>
      </w:pPr>
      <w:r>
        <w:rPr>
          <w:rFonts w:hint="eastAsia" w:ascii="宋体" w:hAnsi="宋体" w:cs="宋体"/>
          <w:color w:val="000000"/>
          <w:kern w:val="0"/>
          <w:sz w:val="24"/>
        </w:rPr>
        <w:t>1.</w:t>
      </w:r>
      <w:r>
        <w:rPr>
          <w:rFonts w:hint="eastAsia" w:ascii="宋体" w:hAnsi="宋体"/>
          <w:kern w:val="0"/>
          <w:sz w:val="24"/>
        </w:rPr>
        <w:t>具有独立法人和一般纳税人资质,注册资金不小于人民币500万元</w:t>
      </w:r>
      <w:r>
        <w:rPr>
          <w:rFonts w:hint="eastAsia" w:ascii="宋体" w:hAnsi="宋体" w:cs="宋体"/>
          <w:color w:val="000000"/>
          <w:kern w:val="0"/>
          <w:sz w:val="24"/>
        </w:rPr>
        <w:t xml:space="preserve">。 </w:t>
      </w:r>
    </w:p>
    <w:p>
      <w:pPr>
        <w:spacing w:line="500" w:lineRule="exact"/>
        <w:ind w:firstLine="480"/>
        <w:rPr>
          <w:rFonts w:ascii="宋体" w:hAnsi="宋体"/>
          <w:color w:val="000000"/>
          <w:sz w:val="24"/>
        </w:rPr>
      </w:pPr>
      <w:r>
        <w:rPr>
          <w:rFonts w:hint="eastAsia" w:ascii="宋体" w:hAnsi="宋体"/>
          <w:color w:val="000000"/>
          <w:sz w:val="24"/>
        </w:rPr>
        <w:t>2.具有承装（修、试）电力设施许可证四级及其以上证书。</w:t>
      </w:r>
    </w:p>
    <w:p>
      <w:pPr>
        <w:spacing w:line="500" w:lineRule="exact"/>
        <w:ind w:firstLine="480"/>
        <w:rPr>
          <w:rFonts w:ascii="宋体" w:hAnsi="宋体"/>
          <w:color w:val="000000"/>
          <w:sz w:val="24"/>
        </w:rPr>
      </w:pPr>
      <w:r>
        <w:rPr>
          <w:rFonts w:hint="eastAsia" w:ascii="宋体" w:hAnsi="宋体"/>
          <w:color w:val="000000"/>
          <w:sz w:val="24"/>
        </w:rPr>
        <w:t>3.拟派本项目的项目经理须具有机电安装工程专业二级及以上建造师证书，且须提供2019年1月-7月社保缴费证明。</w:t>
      </w:r>
    </w:p>
    <w:p>
      <w:pPr>
        <w:widowControl/>
        <w:spacing w:line="500" w:lineRule="exact"/>
        <w:ind w:firstLine="480" w:firstLineChars="200"/>
        <w:rPr>
          <w:rFonts w:ascii="宋体" w:hAnsi="宋体" w:cs="宋体"/>
          <w:color w:val="000000"/>
          <w:kern w:val="0"/>
          <w:sz w:val="24"/>
        </w:rPr>
      </w:pPr>
      <w:r>
        <w:rPr>
          <w:rFonts w:hint="eastAsia" w:ascii="宋体" w:hAnsi="宋体" w:cs="宋体"/>
          <w:color w:val="000000"/>
          <w:kern w:val="0"/>
          <w:sz w:val="24"/>
        </w:rPr>
        <w:t>4.须提供一份公共建筑电气预防性试验服务业绩合同。</w:t>
      </w:r>
    </w:p>
    <w:p>
      <w:pPr>
        <w:spacing w:line="500" w:lineRule="exact"/>
        <w:ind w:firstLine="480" w:firstLineChars="200"/>
        <w:rPr>
          <w:rFonts w:ascii="宋体" w:cs="宋体"/>
          <w:kern w:val="0"/>
          <w:sz w:val="24"/>
        </w:rPr>
      </w:pPr>
      <w:r>
        <w:rPr>
          <w:rFonts w:hint="eastAsia" w:ascii="宋体" w:hAnsi="宋体" w:cs="宋体"/>
          <w:kern w:val="0"/>
          <w:sz w:val="24"/>
        </w:rPr>
        <w:t>5.投标人须符合下列情形之一（以在</w:t>
      </w:r>
      <w:r>
        <w:rPr>
          <w:rFonts w:hint="eastAsia" w:ascii="宋体" w:cs="宋体"/>
          <w:kern w:val="0"/>
          <w:sz w:val="24"/>
        </w:rPr>
        <w:t>“</w:t>
      </w:r>
      <w:r>
        <w:rPr>
          <w:rFonts w:hint="eastAsia" w:ascii="宋体" w:hAnsi="宋体" w:cs="宋体"/>
          <w:kern w:val="0"/>
          <w:sz w:val="24"/>
        </w:rPr>
        <w:t>安徽合肥公共资源交易中心</w:t>
      </w:r>
      <w:r>
        <w:rPr>
          <w:rFonts w:hint="eastAsia" w:ascii="宋体" w:cs="宋体"/>
          <w:kern w:val="0"/>
          <w:sz w:val="24"/>
        </w:rPr>
        <w:t>”</w:t>
      </w:r>
      <w:r>
        <w:rPr>
          <w:rFonts w:hint="eastAsia" w:ascii="宋体" w:hAnsi="宋体" w:cs="宋体"/>
          <w:kern w:val="0"/>
          <w:sz w:val="24"/>
        </w:rPr>
        <w:t>网站</w:t>
      </w:r>
      <w:r>
        <w:rPr>
          <w:rFonts w:ascii="宋体" w:hAnsi="宋体" w:cs="宋体"/>
          <w:kern w:val="0"/>
          <w:sz w:val="24"/>
        </w:rPr>
        <w:t>http://ggzy.hefei.gov.cn/pgt/exposureDesk.html</w:t>
      </w:r>
      <w:r>
        <w:rPr>
          <w:rFonts w:hint="eastAsia" w:ascii="宋体" w:hAnsi="宋体" w:cs="宋体"/>
          <w:kern w:val="0"/>
          <w:sz w:val="24"/>
        </w:rPr>
        <w:t>查询信息为准）：</w:t>
      </w:r>
      <w:r>
        <w:rPr>
          <w:rFonts w:ascii="宋体" w:cs="宋体"/>
          <w:kern w:val="0"/>
          <w:sz w:val="24"/>
        </w:rPr>
        <w:br w:type="textWrapping"/>
      </w:r>
      <w:r>
        <w:rPr>
          <w:rFonts w:ascii="宋体" w:hAnsi="宋体" w:cs="宋体"/>
          <w:kern w:val="0"/>
          <w:sz w:val="24"/>
        </w:rPr>
        <w:t xml:space="preserve">    1</w:t>
      </w:r>
      <w:r>
        <w:rPr>
          <w:rFonts w:hint="eastAsia" w:ascii="宋体" w:hAnsi="宋体" w:cs="宋体"/>
          <w:kern w:val="0"/>
          <w:sz w:val="24"/>
        </w:rPr>
        <w:t>）开标日前两年内未被合肥市及其所辖县（市）公共资源交易监督管理局记不良行为记录或记不良行为记录累计未满</w:t>
      </w:r>
      <w:r>
        <w:rPr>
          <w:rFonts w:ascii="宋体" w:hAnsi="宋体" w:cs="宋体"/>
          <w:kern w:val="0"/>
          <w:sz w:val="24"/>
        </w:rPr>
        <w:t>10</w:t>
      </w:r>
      <w:r>
        <w:rPr>
          <w:rFonts w:hint="eastAsia" w:ascii="宋体" w:hAnsi="宋体" w:cs="宋体"/>
          <w:kern w:val="0"/>
          <w:sz w:val="24"/>
        </w:rPr>
        <w:t>分的。</w:t>
      </w:r>
      <w:r>
        <w:rPr>
          <w:rFonts w:ascii="宋体" w:cs="宋体"/>
          <w:kern w:val="0"/>
          <w:sz w:val="24"/>
        </w:rPr>
        <w:t> </w:t>
      </w:r>
      <w:r>
        <w:rPr>
          <w:rFonts w:ascii="宋体" w:cs="宋体"/>
          <w:kern w:val="0"/>
          <w:sz w:val="24"/>
        </w:rPr>
        <w:br w:type="textWrapping"/>
      </w:r>
      <w:r>
        <w:rPr>
          <w:rFonts w:ascii="宋体" w:hAnsi="宋体" w:cs="宋体"/>
          <w:kern w:val="0"/>
          <w:sz w:val="24"/>
        </w:rPr>
        <w:t xml:space="preserve">    2</w:t>
      </w:r>
      <w:r>
        <w:rPr>
          <w:rFonts w:hint="eastAsia" w:ascii="宋体" w:hAnsi="宋体" w:cs="宋体"/>
          <w:kern w:val="0"/>
          <w:sz w:val="24"/>
        </w:rPr>
        <w:t>）最近一次被合肥市及其所辖县（市）公共资源交易监督管理局记不良行为记录累计记分达</w:t>
      </w:r>
      <w:r>
        <w:rPr>
          <w:rFonts w:ascii="宋体" w:hAnsi="宋体" w:cs="宋体"/>
          <w:kern w:val="0"/>
          <w:sz w:val="24"/>
        </w:rPr>
        <w:t>10</w:t>
      </w:r>
      <w:r>
        <w:rPr>
          <w:rFonts w:hint="eastAsia" w:ascii="宋体" w:hAnsi="宋体" w:cs="宋体"/>
          <w:kern w:val="0"/>
          <w:sz w:val="24"/>
        </w:rPr>
        <w:t>分</w:t>
      </w:r>
      <w:r>
        <w:rPr>
          <w:rFonts w:ascii="宋体" w:hAnsi="宋体" w:cs="宋体"/>
          <w:kern w:val="0"/>
          <w:sz w:val="24"/>
        </w:rPr>
        <w:t>(</w:t>
      </w:r>
      <w:r>
        <w:rPr>
          <w:rFonts w:hint="eastAsia" w:ascii="宋体" w:hAnsi="宋体" w:cs="宋体"/>
          <w:kern w:val="0"/>
          <w:sz w:val="24"/>
        </w:rPr>
        <w:t>含</w:t>
      </w:r>
      <w:r>
        <w:rPr>
          <w:rFonts w:ascii="宋体" w:hAnsi="宋体" w:cs="宋体"/>
          <w:kern w:val="0"/>
          <w:sz w:val="24"/>
        </w:rPr>
        <w:t>10</w:t>
      </w:r>
      <w:r>
        <w:rPr>
          <w:rFonts w:hint="eastAsia" w:ascii="宋体" w:hAnsi="宋体" w:cs="宋体"/>
          <w:kern w:val="0"/>
          <w:sz w:val="24"/>
        </w:rPr>
        <w:t>分</w:t>
      </w:r>
      <w:r>
        <w:rPr>
          <w:rFonts w:ascii="宋体" w:hAnsi="宋体" w:cs="宋体"/>
          <w:kern w:val="0"/>
          <w:sz w:val="24"/>
        </w:rPr>
        <w:t>)</w:t>
      </w:r>
      <w:r>
        <w:rPr>
          <w:rFonts w:hint="eastAsia" w:ascii="宋体" w:hAnsi="宋体" w:cs="宋体"/>
          <w:kern w:val="0"/>
          <w:sz w:val="24"/>
        </w:rPr>
        <w:t>到</w:t>
      </w:r>
      <w:r>
        <w:rPr>
          <w:rFonts w:ascii="宋体" w:hAnsi="宋体" w:cs="宋体"/>
          <w:kern w:val="0"/>
          <w:sz w:val="24"/>
        </w:rPr>
        <w:t>15</w:t>
      </w:r>
      <w:r>
        <w:rPr>
          <w:rFonts w:hint="eastAsia" w:ascii="宋体" w:hAnsi="宋体" w:cs="宋体"/>
          <w:kern w:val="0"/>
          <w:sz w:val="24"/>
        </w:rPr>
        <w:t>分且公布日距开标日超过</w:t>
      </w:r>
      <w:r>
        <w:rPr>
          <w:rFonts w:ascii="宋体" w:hAnsi="宋体" w:cs="宋体"/>
          <w:kern w:val="0"/>
          <w:sz w:val="24"/>
        </w:rPr>
        <w:t>6</w:t>
      </w:r>
      <w:r>
        <w:rPr>
          <w:rFonts w:hint="eastAsia" w:ascii="宋体" w:hAnsi="宋体" w:cs="宋体"/>
          <w:kern w:val="0"/>
          <w:sz w:val="24"/>
        </w:rPr>
        <w:t>个月。</w:t>
      </w:r>
      <w:r>
        <w:rPr>
          <w:rFonts w:ascii="宋体" w:cs="宋体"/>
          <w:kern w:val="0"/>
          <w:sz w:val="24"/>
        </w:rPr>
        <w:t> </w:t>
      </w:r>
      <w:r>
        <w:rPr>
          <w:rFonts w:ascii="宋体" w:cs="宋体"/>
          <w:kern w:val="0"/>
          <w:sz w:val="24"/>
        </w:rPr>
        <w:br w:type="textWrapping"/>
      </w:r>
      <w:r>
        <w:rPr>
          <w:rFonts w:ascii="宋体" w:hAnsi="宋体" w:cs="宋体"/>
          <w:kern w:val="0"/>
          <w:sz w:val="24"/>
        </w:rPr>
        <w:t xml:space="preserve">    3</w:t>
      </w:r>
      <w:r>
        <w:rPr>
          <w:rFonts w:hint="eastAsia" w:ascii="宋体" w:hAnsi="宋体" w:cs="宋体"/>
          <w:kern w:val="0"/>
          <w:sz w:val="24"/>
        </w:rPr>
        <w:t>）最近一次被合肥市及其所辖县（市）公共资源交易监督管理局记不良行为记录累计记分达</w:t>
      </w:r>
      <w:r>
        <w:rPr>
          <w:rFonts w:ascii="宋体" w:hAnsi="宋体" w:cs="宋体"/>
          <w:kern w:val="0"/>
          <w:sz w:val="24"/>
        </w:rPr>
        <w:t>15</w:t>
      </w:r>
      <w:r>
        <w:rPr>
          <w:rFonts w:hint="eastAsia" w:ascii="宋体" w:hAnsi="宋体" w:cs="宋体"/>
          <w:kern w:val="0"/>
          <w:sz w:val="24"/>
        </w:rPr>
        <w:t>分</w:t>
      </w:r>
      <w:r>
        <w:rPr>
          <w:rFonts w:ascii="宋体" w:hAnsi="宋体" w:cs="宋体"/>
          <w:kern w:val="0"/>
          <w:sz w:val="24"/>
        </w:rPr>
        <w:t>(</w:t>
      </w:r>
      <w:r>
        <w:rPr>
          <w:rFonts w:hint="eastAsia" w:ascii="宋体" w:hAnsi="宋体" w:cs="宋体"/>
          <w:kern w:val="0"/>
          <w:sz w:val="24"/>
        </w:rPr>
        <w:t>含</w:t>
      </w:r>
      <w:r>
        <w:rPr>
          <w:rFonts w:ascii="宋体" w:hAnsi="宋体" w:cs="宋体"/>
          <w:kern w:val="0"/>
          <w:sz w:val="24"/>
        </w:rPr>
        <w:t>15</w:t>
      </w:r>
      <w:r>
        <w:rPr>
          <w:rFonts w:hint="eastAsia" w:ascii="宋体" w:hAnsi="宋体" w:cs="宋体"/>
          <w:kern w:val="0"/>
          <w:sz w:val="24"/>
        </w:rPr>
        <w:t>分</w:t>
      </w:r>
      <w:r>
        <w:rPr>
          <w:rFonts w:ascii="宋体" w:hAnsi="宋体" w:cs="宋体"/>
          <w:kern w:val="0"/>
          <w:sz w:val="24"/>
        </w:rPr>
        <w:t>)</w:t>
      </w:r>
      <w:r>
        <w:rPr>
          <w:rFonts w:hint="eastAsia" w:ascii="宋体" w:hAnsi="宋体" w:cs="宋体"/>
          <w:kern w:val="0"/>
          <w:sz w:val="24"/>
        </w:rPr>
        <w:t>到</w:t>
      </w:r>
      <w:r>
        <w:rPr>
          <w:rFonts w:ascii="宋体" w:hAnsi="宋体" w:cs="宋体"/>
          <w:kern w:val="0"/>
          <w:sz w:val="24"/>
        </w:rPr>
        <w:t>20</w:t>
      </w:r>
      <w:r>
        <w:rPr>
          <w:rFonts w:hint="eastAsia" w:ascii="宋体" w:hAnsi="宋体" w:cs="宋体"/>
          <w:kern w:val="0"/>
          <w:sz w:val="24"/>
        </w:rPr>
        <w:t>分且公布日距开标日超过</w:t>
      </w:r>
      <w:r>
        <w:rPr>
          <w:rFonts w:ascii="宋体" w:hAnsi="宋体" w:cs="宋体"/>
          <w:kern w:val="0"/>
          <w:sz w:val="24"/>
        </w:rPr>
        <w:t>12</w:t>
      </w:r>
      <w:r>
        <w:rPr>
          <w:rFonts w:hint="eastAsia" w:ascii="宋体" w:hAnsi="宋体" w:cs="宋体"/>
          <w:kern w:val="0"/>
          <w:sz w:val="24"/>
        </w:rPr>
        <w:t>个月。</w:t>
      </w:r>
      <w:r>
        <w:rPr>
          <w:rFonts w:ascii="宋体" w:cs="宋体"/>
          <w:kern w:val="0"/>
          <w:sz w:val="24"/>
        </w:rPr>
        <w:t> </w:t>
      </w:r>
      <w:r>
        <w:rPr>
          <w:rFonts w:ascii="宋体" w:cs="宋体"/>
          <w:kern w:val="0"/>
          <w:sz w:val="24"/>
        </w:rPr>
        <w:br w:type="textWrapping"/>
      </w:r>
      <w:r>
        <w:rPr>
          <w:rFonts w:ascii="宋体" w:hAnsi="宋体" w:cs="宋体"/>
          <w:kern w:val="0"/>
          <w:sz w:val="24"/>
        </w:rPr>
        <w:t xml:space="preserve">    4</w:t>
      </w:r>
      <w:r>
        <w:rPr>
          <w:rFonts w:hint="eastAsia" w:ascii="宋体" w:hAnsi="宋体" w:cs="宋体"/>
          <w:kern w:val="0"/>
          <w:sz w:val="24"/>
        </w:rPr>
        <w:t>）最近一次被合肥市及其所辖县（市）公共资源交易监督管理局记不良行为记录累计记分达</w:t>
      </w:r>
      <w:r>
        <w:rPr>
          <w:rFonts w:ascii="宋体" w:hAnsi="宋体" w:cs="宋体"/>
          <w:kern w:val="0"/>
          <w:sz w:val="24"/>
        </w:rPr>
        <w:t>20</w:t>
      </w:r>
      <w:r>
        <w:rPr>
          <w:rFonts w:hint="eastAsia" w:ascii="宋体" w:hAnsi="宋体" w:cs="宋体"/>
          <w:kern w:val="0"/>
          <w:sz w:val="24"/>
        </w:rPr>
        <w:t>分</w:t>
      </w:r>
      <w:r>
        <w:rPr>
          <w:rFonts w:ascii="宋体" w:hAnsi="宋体" w:cs="宋体"/>
          <w:kern w:val="0"/>
          <w:sz w:val="24"/>
        </w:rPr>
        <w:t>(</w:t>
      </w:r>
      <w:r>
        <w:rPr>
          <w:rFonts w:hint="eastAsia" w:ascii="宋体" w:hAnsi="宋体" w:cs="宋体"/>
          <w:kern w:val="0"/>
          <w:sz w:val="24"/>
        </w:rPr>
        <w:t>含</w:t>
      </w:r>
      <w:r>
        <w:rPr>
          <w:rFonts w:ascii="宋体" w:hAnsi="宋体" w:cs="宋体"/>
          <w:kern w:val="0"/>
          <w:sz w:val="24"/>
        </w:rPr>
        <w:t>20</w:t>
      </w:r>
      <w:r>
        <w:rPr>
          <w:rFonts w:hint="eastAsia" w:ascii="宋体" w:hAnsi="宋体" w:cs="宋体"/>
          <w:kern w:val="0"/>
          <w:sz w:val="24"/>
        </w:rPr>
        <w:t>分</w:t>
      </w:r>
      <w:r>
        <w:rPr>
          <w:rFonts w:ascii="宋体" w:hAnsi="宋体" w:cs="宋体"/>
          <w:kern w:val="0"/>
          <w:sz w:val="24"/>
        </w:rPr>
        <w:t>)</w:t>
      </w:r>
      <w:r>
        <w:rPr>
          <w:rFonts w:hint="eastAsia" w:ascii="宋体" w:hAnsi="宋体" w:cs="宋体"/>
          <w:kern w:val="0"/>
          <w:sz w:val="24"/>
        </w:rPr>
        <w:t>及以上且公布日距开标日超过</w:t>
      </w:r>
      <w:r>
        <w:rPr>
          <w:rFonts w:ascii="宋体" w:hAnsi="宋体" w:cs="宋体"/>
          <w:kern w:val="0"/>
          <w:sz w:val="24"/>
        </w:rPr>
        <w:t>24</w:t>
      </w:r>
      <w:r>
        <w:rPr>
          <w:rFonts w:hint="eastAsia" w:ascii="宋体" w:hAnsi="宋体" w:cs="宋体"/>
          <w:kern w:val="0"/>
          <w:sz w:val="24"/>
        </w:rPr>
        <w:t>个月。</w:t>
      </w:r>
    </w:p>
    <w:p>
      <w:pPr>
        <w:spacing w:line="500" w:lineRule="exact"/>
        <w:ind w:left="420" w:leftChars="200" w:firstLine="120" w:firstLineChars="50"/>
        <w:rPr>
          <w:rFonts w:ascii="宋体" w:hAnsi="宋体" w:cs="宋体"/>
          <w:color w:val="000000"/>
          <w:kern w:val="0"/>
          <w:sz w:val="24"/>
        </w:rPr>
      </w:pPr>
      <w:r>
        <w:rPr>
          <w:rFonts w:hint="eastAsia" w:ascii="宋体" w:hAnsi="宋体"/>
          <w:sz w:val="24"/>
        </w:rPr>
        <w:t>6.投标人存在以下不良信用记录情形之一的，不得推荐为中标候选人，不得确定为中标人（以在</w:t>
      </w:r>
      <w:r>
        <w:rPr>
          <w:rFonts w:hint="eastAsia" w:ascii="宋体"/>
          <w:sz w:val="24"/>
        </w:rPr>
        <w:t>“</w:t>
      </w:r>
      <w:r>
        <w:rPr>
          <w:rFonts w:hint="eastAsia" w:ascii="宋体" w:hAnsi="宋体"/>
          <w:sz w:val="24"/>
        </w:rPr>
        <w:t>信用中国</w:t>
      </w:r>
      <w:r>
        <w:rPr>
          <w:rFonts w:hint="eastAsia" w:ascii="宋体"/>
          <w:sz w:val="24"/>
        </w:rPr>
        <w:t>”</w:t>
      </w:r>
      <w:r>
        <w:rPr>
          <w:rFonts w:hint="eastAsia" w:ascii="宋体" w:hAnsi="宋体"/>
          <w:sz w:val="24"/>
        </w:rPr>
        <w:t>网站</w:t>
      </w:r>
      <w:r>
        <w:rPr>
          <w:rFonts w:ascii="宋体" w:hAnsi="宋体"/>
          <w:sz w:val="24"/>
        </w:rPr>
        <w:t>http://www.creditchina.gov.cn/</w:t>
      </w:r>
      <w:r>
        <w:rPr>
          <w:rFonts w:hint="eastAsia" w:ascii="宋体" w:hAnsi="宋体"/>
          <w:sz w:val="24"/>
        </w:rPr>
        <w:t>查询信息为准）：</w:t>
      </w:r>
      <w:r>
        <w:rPr>
          <w:rFonts w:ascii="宋体"/>
          <w:sz w:val="24"/>
        </w:rPr>
        <w:br w:type="textWrapping"/>
      </w:r>
      <w:r>
        <w:rPr>
          <w:rFonts w:ascii="宋体" w:hAnsi="宋体"/>
          <w:sz w:val="24"/>
        </w:rPr>
        <w:t xml:space="preserve"> 1)</w:t>
      </w:r>
      <w:r>
        <w:rPr>
          <w:rFonts w:hint="eastAsia" w:ascii="宋体" w:hAnsi="宋体"/>
          <w:sz w:val="24"/>
        </w:rPr>
        <w:t>投标人被人民法院列入失信被执行人的。</w:t>
      </w:r>
      <w:r>
        <w:rPr>
          <w:rFonts w:ascii="宋体"/>
          <w:sz w:val="24"/>
        </w:rPr>
        <w:br w:type="textWrapping"/>
      </w:r>
      <w:r>
        <w:rPr>
          <w:rFonts w:ascii="宋体" w:hAnsi="宋体"/>
          <w:sz w:val="24"/>
        </w:rPr>
        <w:t xml:space="preserve"> 2)</w:t>
      </w:r>
      <w:r>
        <w:rPr>
          <w:rFonts w:hint="eastAsia" w:ascii="宋体" w:hAnsi="宋体"/>
          <w:sz w:val="24"/>
        </w:rPr>
        <w:t>投标人被列入政府采购严重违法失信名单的。</w:t>
      </w:r>
      <w:r>
        <w:rPr>
          <w:rFonts w:ascii="宋体"/>
          <w:sz w:val="24"/>
        </w:rPr>
        <w:t> </w:t>
      </w:r>
      <w:r>
        <w:rPr>
          <w:rFonts w:ascii="宋体"/>
          <w:sz w:val="24"/>
        </w:rPr>
        <w:br w:type="textWrapping"/>
      </w:r>
      <w:r>
        <w:rPr>
          <w:rFonts w:ascii="宋体" w:hAnsi="宋体"/>
          <w:sz w:val="24"/>
        </w:rPr>
        <w:t xml:space="preserve"> 3)</w:t>
      </w:r>
      <w:r>
        <w:rPr>
          <w:rFonts w:hint="eastAsia" w:ascii="宋体" w:hAnsi="宋体"/>
          <w:sz w:val="24"/>
        </w:rPr>
        <w:t>投标人被工商行政管理部门列入企业经营异常名录的。</w:t>
      </w:r>
      <w:r>
        <w:rPr>
          <w:rFonts w:ascii="宋体"/>
          <w:sz w:val="24"/>
        </w:rPr>
        <w:br w:type="textWrapping"/>
      </w:r>
      <w:r>
        <w:rPr>
          <w:rFonts w:ascii="宋体" w:hAnsi="宋体"/>
          <w:sz w:val="24"/>
        </w:rPr>
        <w:t xml:space="preserve"> 4)</w:t>
      </w:r>
      <w:r>
        <w:rPr>
          <w:rFonts w:hint="eastAsia" w:ascii="宋体" w:hAnsi="宋体"/>
          <w:sz w:val="24"/>
        </w:rPr>
        <w:t>投标人被税务部门列入重大税收违法案件当事人名单的。</w:t>
      </w:r>
    </w:p>
    <w:p>
      <w:pPr>
        <w:widowControl/>
        <w:spacing w:line="50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7.投标单位须具有本地服务能力，并在标书中明确服务承诺。</w:t>
      </w:r>
    </w:p>
    <w:p>
      <w:pPr>
        <w:widowControl/>
        <w:spacing w:line="50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8.本次招标不接受联合体投标。</w:t>
      </w:r>
    </w:p>
    <w:p>
      <w:pPr>
        <w:widowControl/>
        <w:spacing w:line="500" w:lineRule="exact"/>
        <w:jc w:val="left"/>
        <w:rPr>
          <w:rFonts w:ascii="宋体" w:hAnsi="宋体" w:cs="宋体"/>
          <w:b/>
          <w:color w:val="000000"/>
          <w:kern w:val="0"/>
          <w:sz w:val="24"/>
        </w:rPr>
      </w:pPr>
      <w:r>
        <w:rPr>
          <w:rFonts w:hint="eastAsia" w:ascii="宋体" w:hAnsi="宋体" w:cs="宋体"/>
          <w:b/>
          <w:color w:val="000000"/>
          <w:kern w:val="0"/>
          <w:sz w:val="24"/>
        </w:rPr>
        <w:t>二、说明</w:t>
      </w:r>
    </w:p>
    <w:p>
      <w:pPr>
        <w:widowControl/>
        <w:spacing w:line="500" w:lineRule="exact"/>
        <w:ind w:firstLine="480" w:firstLineChars="200"/>
        <w:jc w:val="left"/>
        <w:rPr>
          <w:rFonts w:ascii="宋体" w:hAnsi="宋体" w:cs="宋体"/>
          <w:b/>
          <w:color w:val="000000"/>
          <w:kern w:val="0"/>
          <w:sz w:val="24"/>
        </w:rPr>
      </w:pPr>
      <w:r>
        <w:rPr>
          <w:rFonts w:hint="eastAsia" w:ascii="宋体" w:hAnsi="宋体" w:cs="宋体"/>
          <w:color w:val="000000"/>
          <w:kern w:val="0"/>
          <w:sz w:val="24"/>
        </w:rPr>
        <w:t>1.投标人应仔细阅读招标文件的所有内容，按招标文件的要求提供投标文件，并保证所</w:t>
      </w:r>
    </w:p>
    <w:p>
      <w:pPr>
        <w:widowControl/>
        <w:spacing w:line="500" w:lineRule="exact"/>
        <w:jc w:val="left"/>
        <w:rPr>
          <w:rFonts w:ascii="宋体" w:hAnsi="宋体" w:cs="宋体"/>
          <w:color w:val="000000"/>
          <w:kern w:val="0"/>
          <w:sz w:val="24"/>
        </w:rPr>
      </w:pPr>
      <w:r>
        <w:rPr>
          <w:rFonts w:hint="eastAsia" w:ascii="宋体" w:hAnsi="宋体" w:cs="宋体"/>
          <w:color w:val="000000"/>
          <w:kern w:val="0"/>
          <w:sz w:val="24"/>
        </w:rPr>
        <w:t>提供的全部资料真实有效。</w:t>
      </w:r>
    </w:p>
    <w:p>
      <w:pPr>
        <w:widowControl/>
        <w:spacing w:line="50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2.投标文件的书面内容不得涂抹或改写。</w:t>
      </w:r>
    </w:p>
    <w:p>
      <w:pPr>
        <w:widowControl/>
        <w:spacing w:line="50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3.投标资格证明文件均需加盖投标单位公章等。</w:t>
      </w:r>
    </w:p>
    <w:p>
      <w:pPr>
        <w:widowControl/>
        <w:spacing w:line="50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4.请投标人接到招标文件后,认真审阅和全面理解招标文件中所有的须知、条件、格式、条款和图纸，如果投标人的投标文件不符合招标文件要求，该投标文件将被拒绝，责任自负。</w:t>
      </w:r>
    </w:p>
    <w:p>
      <w:pPr>
        <w:widowControl/>
        <w:spacing w:line="50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5.资审通过而不参加投标的投标人，请在开标前3日以书面形式告知招标人，否则没收投标保证金。</w:t>
      </w:r>
    </w:p>
    <w:p>
      <w:pPr>
        <w:widowControl/>
        <w:spacing w:line="50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6.招标人将按本招标文件时间安排表确定的时间、地点开标，投标人的法定代表人（或代理人）应准时出席，否则将视为弃权处理。</w:t>
      </w:r>
    </w:p>
    <w:p>
      <w:pPr>
        <w:widowControl/>
        <w:spacing w:line="500" w:lineRule="exact"/>
        <w:jc w:val="left"/>
        <w:rPr>
          <w:rFonts w:ascii="宋体" w:hAnsi="宋体" w:cs="宋体"/>
          <w:b/>
          <w:color w:val="000000"/>
          <w:kern w:val="0"/>
          <w:sz w:val="24"/>
        </w:rPr>
      </w:pPr>
      <w:r>
        <w:rPr>
          <w:rFonts w:hint="eastAsia" w:ascii="宋体" w:hAnsi="宋体" w:cs="宋体"/>
          <w:b/>
          <w:color w:val="000000"/>
          <w:kern w:val="0"/>
          <w:sz w:val="24"/>
        </w:rPr>
        <w:t>三、投标文件由以下部分构成</w:t>
      </w:r>
    </w:p>
    <w:p>
      <w:pPr>
        <w:widowControl/>
        <w:spacing w:line="50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1.投标承诺书、开标一览表、投标分项报价表、投标事项承诺等；</w:t>
      </w:r>
    </w:p>
    <w:p>
      <w:pPr>
        <w:widowControl/>
        <w:spacing w:line="50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2.投标资格证明文件等；</w:t>
      </w:r>
    </w:p>
    <w:p>
      <w:pPr>
        <w:widowControl/>
        <w:spacing w:line="50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3.百大集团高压供电设备电气预防性试验方案；</w:t>
      </w:r>
    </w:p>
    <w:p>
      <w:pPr>
        <w:widowControl/>
        <w:spacing w:line="500" w:lineRule="exact"/>
        <w:jc w:val="left"/>
        <w:rPr>
          <w:rFonts w:ascii="宋体" w:hAnsi="宋体" w:cs="宋体"/>
          <w:b/>
          <w:color w:val="000000"/>
          <w:kern w:val="0"/>
          <w:sz w:val="24"/>
        </w:rPr>
      </w:pPr>
      <w:r>
        <w:rPr>
          <w:rFonts w:hint="eastAsia" w:ascii="宋体" w:hAnsi="宋体" w:cs="宋体"/>
          <w:b/>
          <w:color w:val="000000"/>
          <w:kern w:val="0"/>
          <w:sz w:val="24"/>
        </w:rPr>
        <w:t>四、投标报价说明</w:t>
      </w:r>
    </w:p>
    <w:p>
      <w:pPr>
        <w:widowControl/>
        <w:spacing w:line="50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1.除招标文件中另有规定外，计量单位为我国法定计量单位；</w:t>
      </w:r>
    </w:p>
    <w:p>
      <w:pPr>
        <w:widowControl/>
        <w:spacing w:line="50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2.投标报价、服务费一律使用人民币结算；</w:t>
      </w:r>
    </w:p>
    <w:p>
      <w:pPr>
        <w:widowControl/>
        <w:spacing w:line="500" w:lineRule="exact"/>
        <w:ind w:firstLine="480" w:firstLineChars="200"/>
        <w:jc w:val="left"/>
        <w:rPr>
          <w:rFonts w:ascii="宋体" w:hAnsi="宋体" w:cs="宋体"/>
          <w:color w:val="000000"/>
          <w:kern w:val="0"/>
          <w:sz w:val="24"/>
        </w:rPr>
      </w:pPr>
      <w:r>
        <w:rPr>
          <w:rFonts w:hint="eastAsia" w:ascii="宋体" w:hAnsi="宋体" w:cs="宋体"/>
          <w:kern w:val="0"/>
          <w:sz w:val="24"/>
        </w:rPr>
        <w:t>3.投标报价是指</w:t>
      </w:r>
      <w:r>
        <w:rPr>
          <w:rFonts w:hint="eastAsia" w:ascii="宋体" w:hAnsi="宋体" w:cs="宋体"/>
          <w:color w:val="000000"/>
          <w:kern w:val="0"/>
          <w:sz w:val="24"/>
        </w:rPr>
        <w:t>完成试验服务，出具合格的试验报告通过验收并</w:t>
      </w:r>
      <w:r>
        <w:rPr>
          <w:rFonts w:hint="eastAsia" w:ascii="宋体" w:hAnsi="宋体" w:cs="宋体"/>
          <w:kern w:val="0"/>
          <w:sz w:val="24"/>
        </w:rPr>
        <w:t>开据6%增值税专用发票的价格。</w:t>
      </w:r>
    </w:p>
    <w:p>
      <w:pPr>
        <w:widowControl/>
        <w:spacing w:line="500" w:lineRule="exact"/>
        <w:jc w:val="left"/>
        <w:rPr>
          <w:rFonts w:ascii="宋体" w:hAnsi="宋体" w:cs="宋体"/>
          <w:b/>
          <w:color w:val="000000"/>
          <w:kern w:val="0"/>
          <w:sz w:val="24"/>
        </w:rPr>
      </w:pPr>
      <w:r>
        <w:rPr>
          <w:rFonts w:hint="eastAsia" w:ascii="宋体" w:hAnsi="宋体" w:cs="宋体"/>
          <w:b/>
          <w:color w:val="000000"/>
          <w:kern w:val="0"/>
          <w:sz w:val="24"/>
        </w:rPr>
        <w:t>五、投标文件的密封、标记和递交</w:t>
      </w:r>
    </w:p>
    <w:p>
      <w:pPr>
        <w:widowControl/>
        <w:spacing w:line="50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1.投标文件应密封，并在封面注明招标编号、投标项目等，同时在密封处加盖骑缝章；</w:t>
      </w:r>
    </w:p>
    <w:p>
      <w:pPr>
        <w:widowControl/>
        <w:spacing w:line="50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2.投标文件要求：正、副本各一份，PDF电子版一份。</w:t>
      </w:r>
    </w:p>
    <w:p>
      <w:pPr>
        <w:widowControl/>
        <w:spacing w:line="500" w:lineRule="exact"/>
        <w:jc w:val="left"/>
        <w:rPr>
          <w:rFonts w:ascii="宋体" w:hAnsi="宋体" w:cs="宋体"/>
          <w:color w:val="000000"/>
          <w:kern w:val="0"/>
          <w:sz w:val="24"/>
        </w:rPr>
      </w:pPr>
      <w:r>
        <w:rPr>
          <w:rFonts w:hint="eastAsia" w:ascii="宋体" w:hAnsi="宋体" w:cs="宋体"/>
          <w:b/>
          <w:color w:val="000000"/>
          <w:kern w:val="0"/>
          <w:sz w:val="24"/>
        </w:rPr>
        <w:t>六、开标：</w:t>
      </w:r>
      <w:r>
        <w:rPr>
          <w:rFonts w:hint="eastAsia" w:ascii="宋体" w:hAnsi="宋体" w:cs="宋体"/>
          <w:color w:val="000000"/>
          <w:kern w:val="0"/>
          <w:sz w:val="24"/>
        </w:rPr>
        <w:t>招标人会按投标邀请中拟定的时间和地点开标，届时请投标人一名授权代表参加商务标的开标。（授权代表须出示身份证原件）</w:t>
      </w:r>
    </w:p>
    <w:p>
      <w:pPr>
        <w:widowControl/>
        <w:spacing w:line="500" w:lineRule="exact"/>
        <w:jc w:val="left"/>
        <w:rPr>
          <w:rFonts w:ascii="宋体" w:hAnsi="宋体" w:cs="宋体"/>
          <w:b/>
          <w:color w:val="000000"/>
          <w:kern w:val="0"/>
          <w:sz w:val="24"/>
        </w:rPr>
      </w:pPr>
      <w:r>
        <w:rPr>
          <w:rFonts w:hint="eastAsia" w:ascii="宋体" w:hAnsi="宋体" w:cs="宋体"/>
          <w:b/>
          <w:color w:val="000000"/>
          <w:kern w:val="0"/>
          <w:sz w:val="24"/>
        </w:rPr>
        <w:t>七、评标和定标</w:t>
      </w:r>
    </w:p>
    <w:p>
      <w:pPr>
        <w:widowControl/>
        <w:spacing w:line="50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1.评标原则：遵循国家有关法律、法规，客观、公正地对待所有投标人，以招标文件作为评标的基本依据；凡涉及审查、评估和比较投标文件以及定标等意见，均不得向投标人及与评标无关的人员透露；</w:t>
      </w:r>
    </w:p>
    <w:p>
      <w:pPr>
        <w:widowControl/>
        <w:spacing w:line="50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2.本次招标活动将采用有效最低价方法评审。</w:t>
      </w:r>
    </w:p>
    <w:p>
      <w:pPr>
        <w:widowControl/>
        <w:spacing w:line="500" w:lineRule="exact"/>
        <w:ind w:firstLine="480" w:firstLineChars="200"/>
        <w:jc w:val="left"/>
        <w:rPr>
          <w:rFonts w:ascii="宋体" w:hAnsi="宋体"/>
          <w:color w:val="000000"/>
          <w:sz w:val="24"/>
        </w:rPr>
      </w:pPr>
      <w:r>
        <w:rPr>
          <w:rFonts w:hint="eastAsia" w:ascii="宋体" w:hAnsi="宋体" w:cs="宋体"/>
          <w:color w:val="000000"/>
          <w:kern w:val="0"/>
          <w:sz w:val="24"/>
        </w:rPr>
        <w:t>有效最低价法</w:t>
      </w:r>
      <w:r>
        <w:rPr>
          <w:rFonts w:hint="eastAsia" w:ascii="宋体" w:hAnsi="宋体"/>
          <w:color w:val="000000"/>
          <w:sz w:val="24"/>
        </w:rPr>
        <w:t>：在全部满足招标文件实质性要求（包含服务承诺、资格条件、试验方案、付款方式以及招标过程中对以上内容的补充和修改等）前提下，根据各家报价由低到高排列，价格最低的即为中标单位。</w:t>
      </w:r>
    </w:p>
    <w:p>
      <w:pPr>
        <w:widowControl/>
        <w:spacing w:line="500" w:lineRule="exact"/>
        <w:jc w:val="left"/>
        <w:rPr>
          <w:rFonts w:ascii="宋体" w:hAnsi="宋体" w:cs="宋体"/>
          <w:b/>
          <w:color w:val="000000"/>
          <w:kern w:val="0"/>
          <w:sz w:val="24"/>
        </w:rPr>
      </w:pPr>
      <w:r>
        <w:rPr>
          <w:rFonts w:hint="eastAsia" w:ascii="宋体" w:hAnsi="宋体" w:cs="宋体"/>
          <w:b/>
          <w:color w:val="000000"/>
          <w:kern w:val="0"/>
          <w:sz w:val="24"/>
        </w:rPr>
        <w:t xml:space="preserve">    3.招标人不承诺报价最低的投标人能够中标，也不对中标或不中标原因作出解释；</w:t>
      </w:r>
    </w:p>
    <w:p>
      <w:pPr>
        <w:widowControl/>
        <w:spacing w:line="50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4.招标人不向落标的投标人退还投标文件。</w:t>
      </w:r>
    </w:p>
    <w:p>
      <w:pPr>
        <w:widowControl/>
        <w:spacing w:line="500" w:lineRule="exact"/>
        <w:ind w:firstLine="482" w:firstLineChars="200"/>
        <w:jc w:val="left"/>
        <w:rPr>
          <w:rFonts w:ascii="宋体" w:hAnsi="宋体"/>
          <w:b/>
          <w:color w:val="000000"/>
          <w:sz w:val="24"/>
        </w:rPr>
      </w:pPr>
      <w:r>
        <w:rPr>
          <w:rFonts w:hint="eastAsia" w:ascii="宋体" w:hAnsi="宋体" w:cs="宋体"/>
          <w:b/>
          <w:color w:val="000000"/>
          <w:kern w:val="0"/>
          <w:sz w:val="24"/>
        </w:rPr>
        <w:t>5.</w:t>
      </w:r>
      <w:r>
        <w:rPr>
          <w:rFonts w:hint="eastAsia" w:ascii="宋体" w:hAnsi="宋体" w:cs="宋体"/>
          <w:b/>
          <w:color w:val="000000"/>
          <w:sz w:val="24"/>
        </w:rPr>
        <w:t>二次招标</w:t>
      </w:r>
    </w:p>
    <w:p>
      <w:pPr>
        <w:widowControl/>
        <w:spacing w:line="500" w:lineRule="exact"/>
        <w:ind w:firstLine="480" w:firstLineChars="200"/>
        <w:jc w:val="left"/>
        <w:rPr>
          <w:rFonts w:ascii="宋体" w:hAnsi="宋体"/>
          <w:b/>
          <w:color w:val="000000"/>
          <w:sz w:val="24"/>
        </w:rPr>
      </w:pPr>
      <w:r>
        <w:rPr>
          <w:rFonts w:hint="eastAsia" w:ascii="宋体" w:hAnsi="宋体" w:cs="宋体"/>
          <w:color w:val="000000"/>
          <w:sz w:val="24"/>
        </w:rPr>
        <w:t>5.1如项目流标，招标人根据情况可能发布二次公告，进行二次招标。</w:t>
      </w:r>
      <w:r>
        <w:rPr>
          <w:rFonts w:hint="eastAsia" w:ascii="宋体" w:hAnsi="宋体" w:cs="宋体"/>
          <w:kern w:val="0"/>
          <w:sz w:val="24"/>
          <w:szCs w:val="28"/>
        </w:rPr>
        <w:t>二次招标如</w:t>
      </w:r>
      <w:r>
        <w:rPr>
          <w:rFonts w:hint="eastAsia" w:ascii="宋体" w:hAnsi="宋体"/>
          <w:sz w:val="24"/>
          <w:szCs w:val="28"/>
        </w:rPr>
        <w:t>符合专业条件的投标人或对招标文件作实质响应的投标人只有两家，评委会将视情况现场转为竞争性谈判；</w:t>
      </w:r>
    </w:p>
    <w:p>
      <w:pPr>
        <w:widowControl/>
        <w:spacing w:line="500" w:lineRule="exact"/>
        <w:ind w:firstLine="480" w:firstLineChars="200"/>
        <w:jc w:val="left"/>
        <w:rPr>
          <w:rFonts w:ascii="宋体" w:hAnsi="宋体"/>
          <w:b/>
          <w:color w:val="000000"/>
          <w:sz w:val="24"/>
        </w:rPr>
      </w:pPr>
      <w:r>
        <w:rPr>
          <w:rFonts w:hint="eastAsia" w:ascii="宋体" w:hAnsi="宋体" w:cs="宋体"/>
          <w:color w:val="000000"/>
          <w:sz w:val="24"/>
        </w:rPr>
        <w:t>5.2二次招标可能调整前次招标的各项规定及要求，包括项目预算、投标人资格、付款方式、采购需求、评标办法等。投标人参与二次招标，应及时获取二次招标文件，以二次招标文件为依据，进行报名资质审查，审查通过后编制二次投标文件。</w:t>
      </w:r>
    </w:p>
    <w:p>
      <w:pPr>
        <w:widowControl/>
        <w:spacing w:line="500" w:lineRule="exact"/>
        <w:ind w:firstLine="480" w:firstLineChars="200"/>
        <w:jc w:val="left"/>
        <w:rPr>
          <w:rFonts w:ascii="宋体" w:hAnsi="宋体" w:cs="宋体"/>
          <w:color w:val="000000"/>
          <w:sz w:val="24"/>
        </w:rPr>
      </w:pPr>
      <w:r>
        <w:rPr>
          <w:rFonts w:hint="eastAsia" w:ascii="宋体" w:hAnsi="宋体" w:cs="宋体"/>
          <w:color w:val="000000"/>
          <w:sz w:val="24"/>
        </w:rPr>
        <w:t>5.3前次招标流标后，投标人如继续参加二次投标，投标保证金无需重复缴纳。如不参加二次投标的的投标人须书面告知招标人，招标人在规定时间内予以退还投标保证金。</w:t>
      </w:r>
    </w:p>
    <w:p>
      <w:pPr>
        <w:spacing w:line="500" w:lineRule="exact"/>
        <w:ind w:firstLine="475" w:firstLineChars="197"/>
        <w:rPr>
          <w:rFonts w:ascii="宋体" w:hAnsi="宋体"/>
          <w:b/>
          <w:color w:val="000000"/>
          <w:sz w:val="24"/>
        </w:rPr>
      </w:pPr>
      <w:r>
        <w:rPr>
          <w:rFonts w:hint="eastAsia" w:ascii="宋体" w:hAnsi="宋体"/>
          <w:b/>
          <w:color w:val="000000"/>
          <w:sz w:val="24"/>
        </w:rPr>
        <w:t>6.废标</w:t>
      </w:r>
    </w:p>
    <w:p>
      <w:pPr>
        <w:spacing w:line="500" w:lineRule="exact"/>
        <w:ind w:firstLine="480" w:firstLineChars="200"/>
        <w:rPr>
          <w:rFonts w:ascii="宋体" w:hAnsi="宋体"/>
          <w:color w:val="000000"/>
          <w:sz w:val="24"/>
        </w:rPr>
      </w:pPr>
      <w:r>
        <w:rPr>
          <w:rFonts w:hint="eastAsia" w:ascii="宋体" w:hAnsi="宋体"/>
          <w:color w:val="000000"/>
          <w:sz w:val="24"/>
        </w:rPr>
        <w:t>有下列情况之一的投标文件为废标：</w:t>
      </w:r>
    </w:p>
    <w:p>
      <w:pPr>
        <w:spacing w:line="500" w:lineRule="exact"/>
        <w:ind w:firstLine="480" w:firstLineChars="200"/>
        <w:rPr>
          <w:rFonts w:ascii="宋体" w:hAnsi="宋体"/>
          <w:color w:val="000000"/>
          <w:sz w:val="24"/>
        </w:rPr>
      </w:pPr>
      <w:r>
        <w:rPr>
          <w:rFonts w:hint="eastAsia" w:ascii="宋体" w:hAnsi="宋体"/>
          <w:color w:val="000000"/>
          <w:sz w:val="24"/>
        </w:rPr>
        <w:t>⑴未按本须知投标要求进行报价的；</w:t>
      </w:r>
    </w:p>
    <w:p>
      <w:pPr>
        <w:spacing w:line="500" w:lineRule="exact"/>
        <w:ind w:firstLine="480" w:firstLineChars="200"/>
        <w:rPr>
          <w:rFonts w:ascii="宋体" w:hAnsi="宋体"/>
          <w:color w:val="000000"/>
          <w:sz w:val="24"/>
        </w:rPr>
      </w:pPr>
      <w:r>
        <w:rPr>
          <w:rFonts w:hint="eastAsia" w:ascii="宋体" w:hAnsi="宋体"/>
          <w:color w:val="000000"/>
          <w:sz w:val="24"/>
        </w:rPr>
        <w:t>⑵投标报价超过项目概算的；</w:t>
      </w:r>
    </w:p>
    <w:p>
      <w:pPr>
        <w:spacing w:line="500" w:lineRule="exact"/>
        <w:ind w:firstLine="480" w:firstLineChars="200"/>
        <w:rPr>
          <w:rFonts w:ascii="宋体" w:hAnsi="宋体"/>
          <w:color w:val="000000"/>
          <w:sz w:val="24"/>
        </w:rPr>
      </w:pPr>
      <w:r>
        <w:rPr>
          <w:rFonts w:hint="eastAsia" w:ascii="宋体" w:hAnsi="宋体"/>
          <w:color w:val="000000"/>
          <w:sz w:val="24"/>
        </w:rPr>
        <w:t>⑶投标文件无法定代表人或委托代理人签字、盖章的；</w:t>
      </w:r>
    </w:p>
    <w:p>
      <w:pPr>
        <w:spacing w:line="500" w:lineRule="exact"/>
        <w:ind w:firstLine="480" w:firstLineChars="200"/>
        <w:rPr>
          <w:rFonts w:ascii="宋体" w:hAnsi="宋体"/>
          <w:color w:val="000000"/>
          <w:sz w:val="24"/>
        </w:rPr>
      </w:pPr>
      <w:r>
        <w:rPr>
          <w:rFonts w:hint="eastAsia" w:ascii="宋体" w:hAnsi="宋体"/>
          <w:color w:val="000000"/>
          <w:sz w:val="24"/>
        </w:rPr>
        <w:t>⑷不满足招标文件合格投标人要求的；</w:t>
      </w:r>
    </w:p>
    <w:p>
      <w:pPr>
        <w:spacing w:line="500" w:lineRule="exact"/>
        <w:ind w:firstLine="480" w:firstLineChars="200"/>
        <w:rPr>
          <w:rFonts w:ascii="宋体" w:hAnsi="宋体"/>
          <w:color w:val="000000"/>
          <w:sz w:val="24"/>
        </w:rPr>
      </w:pPr>
      <w:r>
        <w:rPr>
          <w:rFonts w:hint="eastAsia" w:ascii="宋体" w:hAnsi="宋体"/>
          <w:color w:val="000000"/>
          <w:sz w:val="24"/>
        </w:rPr>
        <w:t>⑸严重违反招标纪律的；</w:t>
      </w:r>
    </w:p>
    <w:p>
      <w:pPr>
        <w:spacing w:line="500" w:lineRule="exact"/>
        <w:ind w:firstLine="480" w:firstLineChars="200"/>
        <w:rPr>
          <w:rFonts w:ascii="宋体" w:hAnsi="宋体"/>
          <w:color w:val="000000"/>
          <w:sz w:val="24"/>
        </w:rPr>
      </w:pPr>
      <w:r>
        <w:rPr>
          <w:rFonts w:hint="eastAsia" w:ascii="宋体" w:hAnsi="宋体"/>
          <w:color w:val="000000"/>
          <w:sz w:val="24"/>
        </w:rPr>
        <w:t>⑹投标文件字迹潦草、模糊致使无法辨认的；</w:t>
      </w:r>
    </w:p>
    <w:p>
      <w:pPr>
        <w:spacing w:line="500" w:lineRule="exact"/>
        <w:ind w:firstLine="480" w:firstLineChars="200"/>
        <w:rPr>
          <w:rFonts w:ascii="宋体" w:hAnsi="宋体"/>
          <w:color w:val="000000"/>
          <w:sz w:val="24"/>
        </w:rPr>
      </w:pPr>
      <w:r>
        <w:rPr>
          <w:rFonts w:hint="eastAsia" w:ascii="宋体" w:hAnsi="宋体"/>
          <w:color w:val="000000"/>
          <w:sz w:val="24"/>
        </w:rPr>
        <w:t>⑺投标单位在一份投标文件中，报有两个或多个不同报价，且未书面声明以哪个报价为准的；</w:t>
      </w:r>
    </w:p>
    <w:p>
      <w:pPr>
        <w:spacing w:line="500" w:lineRule="exact"/>
        <w:ind w:firstLine="480" w:firstLineChars="200"/>
        <w:rPr>
          <w:rFonts w:ascii="宋体" w:hAnsi="宋体"/>
          <w:color w:val="000000"/>
          <w:sz w:val="24"/>
        </w:rPr>
      </w:pPr>
      <w:r>
        <w:rPr>
          <w:rFonts w:hint="eastAsia" w:ascii="宋体" w:hAnsi="宋体"/>
          <w:color w:val="000000"/>
          <w:sz w:val="24"/>
        </w:rPr>
        <w:t>⑻投标文件存在缺项、漏项的；</w:t>
      </w:r>
    </w:p>
    <w:p>
      <w:pPr>
        <w:spacing w:line="500" w:lineRule="exact"/>
        <w:ind w:firstLine="480" w:firstLineChars="200"/>
        <w:rPr>
          <w:rFonts w:ascii="宋体" w:hAnsi="宋体"/>
          <w:color w:val="000000"/>
          <w:sz w:val="24"/>
        </w:rPr>
      </w:pPr>
      <w:r>
        <w:rPr>
          <w:rFonts w:hint="eastAsia" w:ascii="宋体" w:hAnsi="宋体"/>
          <w:color w:val="000000"/>
          <w:sz w:val="24"/>
        </w:rPr>
        <w:t>⑼评委委员会评议认为构成废标的其他情况；</w:t>
      </w:r>
    </w:p>
    <w:p>
      <w:pPr>
        <w:spacing w:line="500" w:lineRule="exact"/>
        <w:ind w:firstLine="480" w:firstLineChars="200"/>
        <w:rPr>
          <w:rFonts w:ascii="宋体" w:hAnsi="宋体"/>
          <w:b/>
          <w:color w:val="000000"/>
          <w:sz w:val="24"/>
        </w:rPr>
      </w:pPr>
      <w:r>
        <w:rPr>
          <w:rFonts w:hint="eastAsia" w:ascii="宋体" w:hAnsi="宋体"/>
          <w:color w:val="000000"/>
          <w:sz w:val="24"/>
        </w:rPr>
        <w:t>⑽其他未实质性响应招标文件要求的。</w:t>
      </w:r>
    </w:p>
    <w:p>
      <w:pPr>
        <w:widowControl/>
        <w:spacing w:line="500" w:lineRule="exact"/>
        <w:ind w:firstLine="475" w:firstLineChars="197"/>
        <w:jc w:val="left"/>
        <w:rPr>
          <w:rFonts w:ascii="宋体" w:hAnsi="宋体" w:cs="宋体"/>
          <w:b/>
          <w:bCs/>
          <w:color w:val="FF0000"/>
          <w:kern w:val="0"/>
          <w:sz w:val="24"/>
        </w:rPr>
      </w:pPr>
      <w:r>
        <w:rPr>
          <w:rFonts w:hint="eastAsia" w:ascii="宋体" w:hAnsi="宋体" w:cs="宋体"/>
          <w:b/>
          <w:color w:val="000000"/>
          <w:kern w:val="0"/>
          <w:sz w:val="24"/>
        </w:rPr>
        <w:t>7.</w:t>
      </w:r>
      <w:r>
        <w:rPr>
          <w:rFonts w:hint="eastAsia" w:ascii="宋体" w:hAnsi="宋体" w:cs="宋体"/>
          <w:b/>
          <w:bCs/>
          <w:kern w:val="0"/>
          <w:sz w:val="24"/>
        </w:rPr>
        <w:t>招标人</w:t>
      </w:r>
      <w:r>
        <w:rPr>
          <w:rFonts w:hint="eastAsia" w:ascii="宋体" w:hAnsi="宋体"/>
          <w:b/>
          <w:bCs/>
          <w:kern w:val="0"/>
          <w:sz w:val="24"/>
        </w:rPr>
        <w:t>依据公开、公平、公正原则进行评定标，</w:t>
      </w:r>
      <w:r>
        <w:rPr>
          <w:rFonts w:hint="eastAsia" w:ascii="宋体" w:hAnsi="宋体" w:cs="宋体"/>
          <w:b/>
          <w:bCs/>
          <w:kern w:val="0"/>
          <w:sz w:val="24"/>
        </w:rPr>
        <w:t>投标人若认为本次招标过程中存在有违“三公”原则的，可向监标人书面投诉（只接受书面投诉）；联系地址：</w:t>
      </w:r>
      <w:r>
        <w:rPr>
          <w:rFonts w:hint="eastAsia" w:ascii="宋体" w:hAnsi="宋体"/>
          <w:b/>
          <w:bCs/>
          <w:color w:val="000000"/>
          <w:sz w:val="24"/>
        </w:rPr>
        <w:t>合肥市黄山路596号合肥百大集团行政楼1503室</w:t>
      </w:r>
      <w:r>
        <w:rPr>
          <w:rFonts w:hint="eastAsia" w:ascii="宋体" w:hAnsi="宋体" w:cs="宋体"/>
          <w:b/>
          <w:bCs/>
          <w:kern w:val="0"/>
          <w:sz w:val="24"/>
        </w:rPr>
        <w:t xml:space="preserve">  百大集团纪检监察室。</w:t>
      </w:r>
    </w:p>
    <w:p>
      <w:pPr>
        <w:widowControl/>
        <w:spacing w:line="500" w:lineRule="exact"/>
        <w:jc w:val="left"/>
        <w:rPr>
          <w:rFonts w:ascii="宋体" w:hAnsi="宋体" w:cs="宋体"/>
          <w:b/>
          <w:color w:val="000000"/>
          <w:kern w:val="0"/>
          <w:sz w:val="24"/>
        </w:rPr>
      </w:pPr>
      <w:r>
        <w:rPr>
          <w:rFonts w:hint="eastAsia" w:ascii="宋体" w:hAnsi="宋体" w:cs="宋体"/>
          <w:b/>
          <w:color w:val="000000"/>
          <w:kern w:val="0"/>
          <w:sz w:val="24"/>
        </w:rPr>
        <w:t>八、投标文件的澄清</w:t>
      </w:r>
    </w:p>
    <w:p>
      <w:pPr>
        <w:widowControl/>
        <w:spacing w:line="500" w:lineRule="exact"/>
        <w:jc w:val="left"/>
        <w:rPr>
          <w:rFonts w:ascii="宋体" w:hAnsi="宋体" w:cs="宋体"/>
          <w:color w:val="000000"/>
          <w:kern w:val="0"/>
          <w:sz w:val="24"/>
        </w:rPr>
      </w:pPr>
      <w:r>
        <w:rPr>
          <w:rFonts w:hint="eastAsia" w:ascii="宋体" w:hAnsi="宋体" w:cs="宋体"/>
          <w:color w:val="000000"/>
          <w:kern w:val="0"/>
          <w:sz w:val="24"/>
        </w:rPr>
        <w:t xml:space="preserve">    1.为了有助于投标文件的审查、评估和比较，招标人有权向投标人质疑并请投标人澄清其投标内容。投标人应当按照招标人通知的时间、地点，指派专人进行答疑和澄清。</w:t>
      </w:r>
    </w:p>
    <w:p>
      <w:pPr>
        <w:widowControl/>
        <w:spacing w:line="500" w:lineRule="exact"/>
        <w:ind w:firstLine="120" w:firstLineChars="50"/>
        <w:jc w:val="left"/>
        <w:rPr>
          <w:rFonts w:ascii="宋体" w:hAnsi="宋体" w:cs="宋体"/>
          <w:color w:val="000000"/>
          <w:kern w:val="0"/>
          <w:sz w:val="24"/>
        </w:rPr>
      </w:pPr>
      <w:r>
        <w:rPr>
          <w:rFonts w:hint="eastAsia" w:ascii="宋体" w:hAnsi="宋体" w:cs="宋体"/>
          <w:color w:val="000000"/>
          <w:kern w:val="0"/>
          <w:sz w:val="24"/>
        </w:rPr>
        <w:t xml:space="preserve">   2.重要的澄清应是书面的，但不得对投标内容进行实质性修改。</w:t>
      </w:r>
    </w:p>
    <w:p>
      <w:pPr>
        <w:widowControl/>
        <w:spacing w:line="500" w:lineRule="exact"/>
        <w:jc w:val="left"/>
        <w:rPr>
          <w:rFonts w:ascii="宋体" w:hAnsi="宋体" w:cs="宋体"/>
          <w:color w:val="000000"/>
          <w:kern w:val="0"/>
          <w:sz w:val="24"/>
        </w:rPr>
      </w:pPr>
    </w:p>
    <w:p>
      <w:pPr>
        <w:widowControl/>
        <w:spacing w:line="500" w:lineRule="exact"/>
        <w:jc w:val="left"/>
        <w:rPr>
          <w:rFonts w:ascii="宋体" w:hAnsi="宋体" w:cs="宋体"/>
          <w:color w:val="000000"/>
          <w:kern w:val="0"/>
          <w:sz w:val="24"/>
        </w:rPr>
      </w:pPr>
    </w:p>
    <w:p>
      <w:pPr>
        <w:widowControl/>
        <w:spacing w:line="500" w:lineRule="exact"/>
        <w:jc w:val="left"/>
        <w:rPr>
          <w:rFonts w:ascii="宋体" w:hAnsi="宋体" w:cs="宋体"/>
          <w:color w:val="000000"/>
          <w:kern w:val="0"/>
          <w:sz w:val="24"/>
        </w:rPr>
      </w:pPr>
    </w:p>
    <w:p>
      <w:pPr>
        <w:widowControl/>
        <w:spacing w:line="500" w:lineRule="exact"/>
        <w:jc w:val="left"/>
        <w:rPr>
          <w:rFonts w:ascii="宋体" w:hAnsi="宋体" w:cs="宋体"/>
          <w:color w:val="000000"/>
          <w:kern w:val="0"/>
          <w:sz w:val="24"/>
        </w:rPr>
      </w:pPr>
    </w:p>
    <w:p>
      <w:pPr>
        <w:widowControl/>
        <w:spacing w:line="500" w:lineRule="exact"/>
        <w:jc w:val="left"/>
        <w:rPr>
          <w:rFonts w:ascii="宋体" w:hAnsi="宋体" w:cs="宋体"/>
          <w:color w:val="000000"/>
          <w:kern w:val="0"/>
          <w:sz w:val="24"/>
        </w:rPr>
      </w:pPr>
    </w:p>
    <w:p>
      <w:pPr>
        <w:widowControl/>
        <w:spacing w:line="500" w:lineRule="exact"/>
        <w:jc w:val="left"/>
        <w:rPr>
          <w:rFonts w:ascii="宋体" w:hAnsi="宋体" w:cs="宋体"/>
          <w:color w:val="000000"/>
          <w:kern w:val="0"/>
          <w:sz w:val="24"/>
        </w:rPr>
      </w:pPr>
    </w:p>
    <w:p>
      <w:pPr>
        <w:widowControl/>
        <w:spacing w:line="500" w:lineRule="exact"/>
        <w:jc w:val="left"/>
        <w:rPr>
          <w:rFonts w:ascii="宋体" w:hAnsi="宋体" w:cs="宋体"/>
          <w:color w:val="000000"/>
          <w:kern w:val="0"/>
          <w:sz w:val="24"/>
        </w:rPr>
      </w:pPr>
    </w:p>
    <w:p>
      <w:pPr>
        <w:widowControl/>
        <w:spacing w:line="500" w:lineRule="exact"/>
        <w:jc w:val="left"/>
        <w:rPr>
          <w:rFonts w:ascii="宋体" w:hAnsi="宋体" w:cs="宋体"/>
          <w:color w:val="000000"/>
          <w:kern w:val="0"/>
          <w:sz w:val="24"/>
        </w:rPr>
      </w:pPr>
    </w:p>
    <w:p>
      <w:pPr>
        <w:widowControl/>
        <w:spacing w:line="500" w:lineRule="exact"/>
        <w:jc w:val="left"/>
        <w:rPr>
          <w:rFonts w:ascii="宋体" w:hAnsi="宋体" w:cs="宋体"/>
          <w:color w:val="000000"/>
          <w:kern w:val="0"/>
          <w:sz w:val="24"/>
        </w:rPr>
      </w:pPr>
    </w:p>
    <w:p>
      <w:pPr>
        <w:widowControl/>
        <w:spacing w:line="500" w:lineRule="exact"/>
        <w:jc w:val="left"/>
        <w:rPr>
          <w:rFonts w:ascii="宋体" w:hAnsi="宋体" w:cs="宋体"/>
          <w:color w:val="000000"/>
          <w:kern w:val="0"/>
          <w:sz w:val="24"/>
        </w:rPr>
      </w:pPr>
    </w:p>
    <w:p>
      <w:pPr>
        <w:widowControl/>
        <w:spacing w:line="500" w:lineRule="exact"/>
        <w:jc w:val="left"/>
        <w:rPr>
          <w:rFonts w:ascii="宋体" w:hAnsi="宋体" w:cs="宋体"/>
          <w:color w:val="000000"/>
          <w:kern w:val="0"/>
          <w:sz w:val="24"/>
        </w:rPr>
      </w:pPr>
    </w:p>
    <w:p>
      <w:pPr>
        <w:widowControl/>
        <w:spacing w:line="500" w:lineRule="exact"/>
        <w:jc w:val="left"/>
        <w:rPr>
          <w:rFonts w:ascii="宋体" w:hAnsi="宋体" w:cs="宋体"/>
          <w:color w:val="000000"/>
          <w:kern w:val="0"/>
          <w:sz w:val="24"/>
        </w:rPr>
      </w:pPr>
    </w:p>
    <w:p>
      <w:pPr>
        <w:widowControl/>
        <w:spacing w:line="500" w:lineRule="exact"/>
        <w:jc w:val="left"/>
        <w:rPr>
          <w:rFonts w:ascii="宋体" w:hAnsi="宋体" w:cs="宋体"/>
          <w:color w:val="000000"/>
          <w:kern w:val="0"/>
          <w:sz w:val="24"/>
        </w:rPr>
      </w:pPr>
    </w:p>
    <w:p>
      <w:pPr>
        <w:widowControl/>
        <w:spacing w:line="500" w:lineRule="exact"/>
        <w:jc w:val="left"/>
        <w:rPr>
          <w:rFonts w:ascii="宋体" w:hAnsi="宋体" w:cs="宋体"/>
          <w:color w:val="000000"/>
          <w:kern w:val="0"/>
          <w:sz w:val="24"/>
        </w:rPr>
      </w:pPr>
    </w:p>
    <w:p>
      <w:pPr>
        <w:widowControl/>
        <w:spacing w:line="500" w:lineRule="exact"/>
        <w:jc w:val="left"/>
        <w:rPr>
          <w:rFonts w:ascii="宋体" w:hAnsi="宋体" w:cs="宋体"/>
          <w:color w:val="000000"/>
          <w:kern w:val="0"/>
          <w:sz w:val="24"/>
        </w:rPr>
      </w:pPr>
    </w:p>
    <w:p>
      <w:pPr>
        <w:widowControl/>
        <w:spacing w:line="500" w:lineRule="exact"/>
        <w:jc w:val="left"/>
        <w:rPr>
          <w:rFonts w:ascii="宋体" w:hAnsi="宋体" w:cs="宋体"/>
          <w:color w:val="000000"/>
          <w:kern w:val="0"/>
          <w:sz w:val="24"/>
        </w:rPr>
      </w:pPr>
    </w:p>
    <w:p>
      <w:pPr>
        <w:widowControl/>
        <w:spacing w:line="500" w:lineRule="exact"/>
        <w:jc w:val="left"/>
        <w:rPr>
          <w:rFonts w:ascii="宋体" w:hAnsi="宋体" w:cs="宋体"/>
          <w:color w:val="000000"/>
          <w:kern w:val="0"/>
          <w:sz w:val="24"/>
        </w:rPr>
      </w:pPr>
    </w:p>
    <w:p>
      <w:pPr>
        <w:widowControl/>
        <w:spacing w:line="500" w:lineRule="exact"/>
        <w:jc w:val="left"/>
        <w:rPr>
          <w:rFonts w:ascii="宋体" w:hAnsi="宋体" w:cs="宋体"/>
          <w:color w:val="000000"/>
          <w:kern w:val="0"/>
          <w:sz w:val="24"/>
        </w:rPr>
      </w:pPr>
    </w:p>
    <w:p>
      <w:pPr>
        <w:widowControl/>
        <w:spacing w:line="500" w:lineRule="exact"/>
        <w:jc w:val="left"/>
        <w:rPr>
          <w:rFonts w:ascii="宋体" w:hAnsi="宋体" w:cs="宋体"/>
          <w:color w:val="000000"/>
          <w:kern w:val="0"/>
          <w:sz w:val="24"/>
        </w:rPr>
      </w:pPr>
    </w:p>
    <w:p>
      <w:pPr>
        <w:widowControl/>
        <w:numPr>
          <w:ilvl w:val="0"/>
          <w:numId w:val="1"/>
        </w:numPr>
        <w:tabs>
          <w:tab w:val="left" w:pos="4200"/>
        </w:tabs>
        <w:spacing w:line="600" w:lineRule="exact"/>
        <w:jc w:val="center"/>
        <w:rPr>
          <w:rFonts w:ascii="宋体" w:hAnsi="宋体" w:cs="宋体"/>
          <w:b/>
          <w:color w:val="000000"/>
          <w:kern w:val="0"/>
          <w:sz w:val="32"/>
          <w:szCs w:val="32"/>
        </w:rPr>
      </w:pPr>
      <w:r>
        <w:rPr>
          <w:rFonts w:hint="eastAsia" w:ascii="宋体" w:hAnsi="宋体" w:cs="宋体"/>
          <w:b/>
          <w:color w:val="000000"/>
          <w:kern w:val="0"/>
          <w:sz w:val="32"/>
          <w:szCs w:val="32"/>
        </w:rPr>
        <w:t xml:space="preserve"> 合同主要条款</w:t>
      </w:r>
    </w:p>
    <w:p>
      <w:pPr>
        <w:widowControl/>
        <w:spacing w:line="520" w:lineRule="exact"/>
        <w:jc w:val="left"/>
        <w:outlineLvl w:val="0"/>
        <w:rPr>
          <w:rFonts w:ascii="宋体" w:hAnsi="宋体" w:cs="宋体"/>
          <w:b/>
          <w:color w:val="000000"/>
          <w:kern w:val="0"/>
          <w:sz w:val="24"/>
        </w:rPr>
      </w:pPr>
      <w:r>
        <w:rPr>
          <w:rFonts w:hint="eastAsia" w:ascii="宋体" w:hAnsi="宋体" w:cs="宋体"/>
          <w:b/>
          <w:color w:val="000000"/>
          <w:kern w:val="0"/>
          <w:sz w:val="24"/>
        </w:rPr>
        <w:t>一、合同签订</w:t>
      </w:r>
    </w:p>
    <w:p>
      <w:pPr>
        <w:widowControl/>
        <w:spacing w:line="520" w:lineRule="exact"/>
        <w:ind w:firstLine="360" w:firstLineChars="150"/>
        <w:jc w:val="left"/>
        <w:rPr>
          <w:rFonts w:ascii="宋体" w:hAnsi="宋体" w:cs="宋体"/>
          <w:color w:val="000000"/>
          <w:kern w:val="0"/>
          <w:sz w:val="24"/>
        </w:rPr>
      </w:pPr>
      <w:r>
        <w:rPr>
          <w:rFonts w:hint="eastAsia" w:ascii="宋体" w:hAnsi="宋体" w:cs="宋体"/>
          <w:color w:val="000000"/>
          <w:kern w:val="0"/>
          <w:sz w:val="24"/>
        </w:rPr>
        <w:t xml:space="preserve"> 1.确定中标人及相关事宜后，甲方（招标人）、乙方（中标人）签订承包合同；</w:t>
      </w:r>
    </w:p>
    <w:p>
      <w:pPr>
        <w:widowControl/>
        <w:spacing w:line="520" w:lineRule="exact"/>
        <w:ind w:left="675" w:leftChars="150" w:hanging="360" w:hangingChars="150"/>
        <w:jc w:val="left"/>
        <w:rPr>
          <w:rFonts w:ascii="宋体" w:hAnsi="宋体" w:cs="宋体"/>
          <w:color w:val="000000"/>
          <w:kern w:val="0"/>
          <w:sz w:val="24"/>
        </w:rPr>
      </w:pPr>
      <w:r>
        <w:rPr>
          <w:rFonts w:hint="eastAsia" w:ascii="宋体" w:hAnsi="宋体" w:cs="宋体"/>
          <w:color w:val="000000"/>
          <w:kern w:val="0"/>
          <w:sz w:val="24"/>
        </w:rPr>
        <w:t xml:space="preserve"> 2.服务周期：2019年9月1日-2021年9月1日；</w:t>
      </w:r>
    </w:p>
    <w:p>
      <w:pPr>
        <w:widowControl/>
        <w:spacing w:line="52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3.招标文件、中标人的投标文件（含澄清文件）均为签订合同的依据；</w:t>
      </w:r>
    </w:p>
    <w:p>
      <w:pPr>
        <w:widowControl/>
        <w:spacing w:line="520" w:lineRule="exact"/>
        <w:ind w:firstLine="360" w:firstLineChars="150"/>
        <w:jc w:val="left"/>
        <w:rPr>
          <w:rFonts w:ascii="宋体" w:hAnsi="宋体" w:cs="宋体"/>
          <w:color w:val="000000"/>
          <w:kern w:val="0"/>
          <w:sz w:val="24"/>
        </w:rPr>
      </w:pPr>
      <w:r>
        <w:rPr>
          <w:rFonts w:hint="eastAsia" w:ascii="宋体" w:hAnsi="宋体" w:cs="宋体"/>
          <w:color w:val="000000"/>
          <w:kern w:val="0"/>
          <w:sz w:val="24"/>
        </w:rPr>
        <w:t xml:space="preserve"> 4.试验需招标人需与有供电设备求的百大集团合肥地区企业签订服务合同。</w:t>
      </w:r>
    </w:p>
    <w:p>
      <w:pPr>
        <w:widowControl/>
        <w:spacing w:line="520" w:lineRule="exact"/>
        <w:ind w:firstLine="360" w:firstLineChars="150"/>
        <w:jc w:val="left"/>
        <w:rPr>
          <w:rFonts w:ascii="宋体" w:hAnsi="宋体" w:cs="宋体"/>
          <w:color w:val="000000"/>
          <w:kern w:val="0"/>
          <w:sz w:val="24"/>
        </w:rPr>
      </w:pPr>
      <w:r>
        <w:rPr>
          <w:rFonts w:hint="eastAsia" w:ascii="宋体" w:hAnsi="宋体" w:cs="宋体"/>
          <w:color w:val="000000"/>
          <w:kern w:val="0"/>
          <w:sz w:val="24"/>
        </w:rPr>
        <w:t xml:space="preserve"> 5.中标人不与招标人签订合同的，招标人可单方面取消其中标资格，并追究其责任。</w:t>
      </w:r>
    </w:p>
    <w:p>
      <w:pPr>
        <w:widowControl/>
        <w:spacing w:line="520" w:lineRule="exact"/>
        <w:jc w:val="left"/>
        <w:outlineLvl w:val="0"/>
        <w:rPr>
          <w:rFonts w:ascii="宋体" w:hAnsi="宋体" w:cs="宋体"/>
          <w:b/>
          <w:color w:val="000000"/>
          <w:kern w:val="0"/>
          <w:sz w:val="24"/>
        </w:rPr>
      </w:pPr>
      <w:r>
        <w:rPr>
          <w:rFonts w:hint="eastAsia" w:ascii="宋体" w:hAnsi="宋体" w:cs="宋体"/>
          <w:b/>
          <w:color w:val="000000"/>
          <w:kern w:val="0"/>
          <w:sz w:val="24"/>
        </w:rPr>
        <w:t>二、合同主要条款</w:t>
      </w:r>
    </w:p>
    <w:p>
      <w:pPr>
        <w:widowControl/>
        <w:spacing w:line="460" w:lineRule="exact"/>
        <w:ind w:firstLine="480" w:firstLineChars="200"/>
        <w:jc w:val="left"/>
        <w:outlineLvl w:val="0"/>
        <w:rPr>
          <w:rFonts w:ascii="宋体" w:hAnsi="宋体" w:cs="宋体"/>
          <w:color w:val="000000"/>
          <w:kern w:val="0"/>
          <w:sz w:val="24"/>
        </w:rPr>
      </w:pPr>
      <w:r>
        <w:rPr>
          <w:rFonts w:hint="eastAsia" w:ascii="宋体" w:hAnsi="宋体" w:cs="宋体"/>
          <w:color w:val="000000"/>
          <w:kern w:val="0"/>
          <w:sz w:val="24"/>
        </w:rPr>
        <w:t>付款方式：单个门店完成试验服务，试验报告通过供电主管部门验收，中标人提供符合要求的增值税专用发票后一次性付清。</w:t>
      </w:r>
    </w:p>
    <w:p>
      <w:pPr>
        <w:widowControl/>
        <w:spacing w:line="520" w:lineRule="exact"/>
        <w:jc w:val="left"/>
        <w:outlineLvl w:val="0"/>
        <w:rPr>
          <w:rFonts w:ascii="宋体" w:hAnsi="宋体" w:cs="宋体"/>
          <w:b/>
          <w:color w:val="000000"/>
          <w:kern w:val="0"/>
          <w:sz w:val="24"/>
        </w:rPr>
      </w:pPr>
      <w:r>
        <w:rPr>
          <w:rFonts w:hint="eastAsia" w:ascii="宋体" w:hAnsi="宋体" w:cs="宋体"/>
          <w:b/>
          <w:color w:val="000000"/>
          <w:kern w:val="0"/>
          <w:sz w:val="24"/>
        </w:rPr>
        <w:t>三、合同执行</w:t>
      </w:r>
    </w:p>
    <w:p>
      <w:pPr>
        <w:widowControl/>
        <w:spacing w:line="520" w:lineRule="exact"/>
        <w:ind w:firstLine="360" w:firstLineChars="150"/>
        <w:jc w:val="left"/>
        <w:rPr>
          <w:rFonts w:ascii="宋体" w:hAnsi="宋体" w:cs="宋体"/>
          <w:color w:val="000000"/>
          <w:kern w:val="0"/>
          <w:sz w:val="24"/>
        </w:rPr>
      </w:pPr>
      <w:r>
        <w:rPr>
          <w:rFonts w:ascii="宋体" w:hAnsi="宋体" w:cs="宋体"/>
          <w:color w:val="000000"/>
          <w:kern w:val="0"/>
          <w:sz w:val="24"/>
        </w:rPr>
        <w:t xml:space="preserve"> 1</w:t>
      </w:r>
      <w:r>
        <w:rPr>
          <w:rFonts w:hint="eastAsia" w:ascii="宋体" w:hAnsi="宋体" w:cs="宋体"/>
          <w:color w:val="000000"/>
          <w:kern w:val="0"/>
          <w:sz w:val="24"/>
        </w:rPr>
        <w:t>.甲乙双方严格按合同条款执行；</w:t>
      </w:r>
    </w:p>
    <w:p>
      <w:pPr>
        <w:widowControl/>
        <w:spacing w:line="520" w:lineRule="exact"/>
        <w:ind w:firstLine="360" w:firstLineChars="150"/>
        <w:jc w:val="left"/>
        <w:rPr>
          <w:rFonts w:ascii="宋体" w:hAnsi="宋体" w:cs="宋体"/>
          <w:color w:val="000000"/>
          <w:kern w:val="0"/>
          <w:sz w:val="24"/>
        </w:rPr>
      </w:pPr>
      <w:r>
        <w:rPr>
          <w:rFonts w:ascii="宋体" w:hAnsi="宋体" w:cs="宋体"/>
          <w:color w:val="000000"/>
          <w:kern w:val="0"/>
          <w:sz w:val="24"/>
        </w:rPr>
        <w:t xml:space="preserve"> 2</w:t>
      </w:r>
      <w:r>
        <w:rPr>
          <w:rFonts w:hint="eastAsia" w:ascii="宋体" w:hAnsi="宋体" w:cs="宋体"/>
          <w:color w:val="000000"/>
          <w:kern w:val="0"/>
          <w:sz w:val="24"/>
        </w:rPr>
        <w:t>.因特殊原因不能按时完成，乙方应在合同规定的交货期限内书面告知甲方；</w:t>
      </w:r>
    </w:p>
    <w:p>
      <w:pPr>
        <w:widowControl/>
        <w:spacing w:line="52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3.无特殊原因乙方拒不履行合同，招标人可单方面取消其中标资格，并追究违约责任；</w:t>
      </w:r>
    </w:p>
    <w:p>
      <w:pPr>
        <w:widowControl/>
        <w:spacing w:line="520" w:lineRule="exact"/>
        <w:jc w:val="left"/>
        <w:rPr>
          <w:rFonts w:ascii="宋体" w:hAnsi="宋体" w:cs="宋体"/>
          <w:b/>
          <w:color w:val="000000"/>
          <w:kern w:val="0"/>
          <w:sz w:val="24"/>
        </w:rPr>
      </w:pPr>
      <w:r>
        <w:rPr>
          <w:rFonts w:hint="eastAsia" w:ascii="宋体" w:hAnsi="宋体" w:cs="宋体"/>
          <w:b/>
          <w:color w:val="000000"/>
          <w:kern w:val="0"/>
          <w:sz w:val="24"/>
        </w:rPr>
        <w:t>四、履约保证金</w:t>
      </w:r>
    </w:p>
    <w:p>
      <w:pPr>
        <w:widowControl/>
        <w:spacing w:line="520" w:lineRule="exact"/>
        <w:ind w:firstLine="480"/>
        <w:jc w:val="left"/>
        <w:outlineLvl w:val="0"/>
        <w:rPr>
          <w:rFonts w:ascii="宋体" w:hAnsi="宋体" w:cs="宋体"/>
          <w:color w:val="000000"/>
          <w:kern w:val="0"/>
          <w:sz w:val="24"/>
        </w:rPr>
      </w:pPr>
      <w:r>
        <w:rPr>
          <w:rFonts w:hint="eastAsia" w:ascii="宋体" w:hAnsi="宋体" w:cs="宋体"/>
          <w:color w:val="000000"/>
          <w:kern w:val="0"/>
          <w:sz w:val="24"/>
        </w:rPr>
        <w:t>中标单位需在接到招标人通知2日内前往需求成员企业财务部缴纳履约保证金，履约保证金为合同价款的10%，否则取消中标资格。期限至试验服务完成后退还。</w:t>
      </w:r>
    </w:p>
    <w:p>
      <w:pPr>
        <w:spacing w:afterLines="100" w:line="0" w:lineRule="atLeast"/>
        <w:jc w:val="center"/>
        <w:rPr>
          <w:rFonts w:ascii="宋体" w:hAnsi="宋体" w:cs="宋体"/>
          <w:b/>
          <w:color w:val="000000"/>
          <w:sz w:val="32"/>
        </w:rPr>
      </w:pPr>
    </w:p>
    <w:p>
      <w:pPr>
        <w:spacing w:afterLines="100" w:line="0" w:lineRule="atLeast"/>
        <w:jc w:val="center"/>
        <w:rPr>
          <w:rFonts w:ascii="宋体" w:hAnsi="宋体" w:cs="宋体"/>
          <w:b/>
          <w:color w:val="000000"/>
          <w:sz w:val="32"/>
        </w:rPr>
      </w:pPr>
    </w:p>
    <w:p>
      <w:pPr>
        <w:spacing w:line="500" w:lineRule="atLeast"/>
        <w:jc w:val="center"/>
        <w:rPr>
          <w:rFonts w:ascii="宋体" w:hAnsi="宋体" w:cs="宋体"/>
          <w:b/>
          <w:color w:val="000000"/>
          <w:sz w:val="32"/>
        </w:rPr>
        <w:sectPr>
          <w:headerReference r:id="rId4" w:type="first"/>
          <w:headerReference r:id="rId3" w:type="default"/>
          <w:footerReference r:id="rId5" w:type="default"/>
          <w:footerReference r:id="rId6" w:type="even"/>
          <w:pgSz w:w="11906" w:h="16838"/>
          <w:pgMar w:top="1440" w:right="1080" w:bottom="1440" w:left="1080" w:header="851" w:footer="992" w:gutter="0"/>
          <w:pgNumType w:start="1"/>
          <w:cols w:space="720" w:num="1"/>
          <w:docGrid w:type="lines" w:linePitch="312" w:charSpace="0"/>
        </w:sectPr>
      </w:pPr>
    </w:p>
    <w:p>
      <w:pPr>
        <w:widowControl/>
        <w:spacing w:line="520" w:lineRule="exact"/>
        <w:rPr>
          <w:rFonts w:ascii="宋体" w:hAnsi="宋体" w:cs="宋体"/>
          <w:b/>
          <w:color w:val="000000"/>
          <w:kern w:val="0"/>
          <w:sz w:val="32"/>
          <w:szCs w:val="32"/>
        </w:rPr>
      </w:pPr>
    </w:p>
    <w:p>
      <w:pPr>
        <w:widowControl/>
        <w:spacing w:line="520" w:lineRule="exact"/>
        <w:jc w:val="center"/>
        <w:rPr>
          <w:rFonts w:ascii="宋体" w:hAnsi="宋体" w:cs="宋体"/>
          <w:b/>
          <w:color w:val="000000"/>
          <w:kern w:val="0"/>
          <w:sz w:val="32"/>
          <w:szCs w:val="32"/>
        </w:rPr>
      </w:pPr>
      <w:r>
        <w:rPr>
          <w:rFonts w:hint="eastAsia" w:ascii="宋体" w:hAnsi="宋体" w:cs="宋体"/>
          <w:b/>
          <w:color w:val="000000"/>
          <w:kern w:val="0"/>
          <w:sz w:val="32"/>
          <w:szCs w:val="32"/>
        </w:rPr>
        <w:t>第四章  附  件</w:t>
      </w:r>
    </w:p>
    <w:p>
      <w:pPr>
        <w:widowControl/>
        <w:spacing w:line="520" w:lineRule="exact"/>
        <w:jc w:val="center"/>
        <w:rPr>
          <w:rFonts w:ascii="宋体" w:hAnsi="宋体" w:cs="宋体"/>
          <w:b/>
          <w:color w:val="000000"/>
          <w:kern w:val="0"/>
          <w:sz w:val="24"/>
        </w:rPr>
      </w:pPr>
      <w:r>
        <w:rPr>
          <w:rFonts w:hint="eastAsia" w:ascii="宋体" w:hAnsi="宋体" w:cs="宋体"/>
          <w:b/>
          <w:color w:val="000000"/>
          <w:kern w:val="0"/>
          <w:sz w:val="24"/>
        </w:rPr>
        <w:t>一、投标文件格式</w:t>
      </w:r>
    </w:p>
    <w:p>
      <w:pPr>
        <w:widowControl/>
        <w:spacing w:line="520" w:lineRule="exact"/>
        <w:jc w:val="center"/>
        <w:rPr>
          <w:rFonts w:ascii="宋体" w:hAnsi="宋体" w:cs="宋体"/>
          <w:b/>
          <w:color w:val="000000"/>
          <w:kern w:val="0"/>
          <w:sz w:val="24"/>
        </w:rPr>
      </w:pPr>
      <w:r>
        <w:rPr>
          <w:rFonts w:hint="eastAsia" w:ascii="宋体" w:hAnsi="宋体" w:cs="宋体"/>
          <w:b/>
          <w:color w:val="000000"/>
          <w:kern w:val="0"/>
          <w:sz w:val="24"/>
        </w:rPr>
        <w:t>格式1  投标承诺书</w:t>
      </w:r>
    </w:p>
    <w:p>
      <w:pPr>
        <w:widowControl/>
        <w:spacing w:line="520" w:lineRule="exact"/>
        <w:jc w:val="center"/>
        <w:rPr>
          <w:rFonts w:ascii="宋体" w:hAnsi="宋体" w:cs="宋体"/>
          <w:b/>
          <w:color w:val="000000"/>
          <w:kern w:val="0"/>
          <w:sz w:val="24"/>
        </w:rPr>
      </w:pPr>
    </w:p>
    <w:p>
      <w:pPr>
        <w:widowControl/>
        <w:spacing w:line="520" w:lineRule="exact"/>
        <w:jc w:val="left"/>
        <w:rPr>
          <w:rFonts w:ascii="宋体" w:hAnsi="宋体" w:cs="宋体"/>
          <w:b/>
          <w:kern w:val="0"/>
          <w:sz w:val="24"/>
        </w:rPr>
      </w:pPr>
      <w:r>
        <w:rPr>
          <w:rFonts w:hint="eastAsia" w:ascii="宋体" w:hAnsi="宋体" w:cs="宋体"/>
          <w:b/>
          <w:kern w:val="0"/>
          <w:sz w:val="24"/>
        </w:rPr>
        <w:t>致</w:t>
      </w:r>
      <w:r>
        <w:rPr>
          <w:rFonts w:hint="eastAsia" w:ascii="宋体" w:hAnsi="宋体" w:cs="宋体"/>
          <w:b/>
          <w:color w:val="000000"/>
          <w:kern w:val="0"/>
          <w:sz w:val="24"/>
        </w:rPr>
        <w:t>合肥百货大楼集团股份有限公司</w:t>
      </w:r>
      <w:r>
        <w:rPr>
          <w:rFonts w:hint="eastAsia" w:ascii="宋体" w:hAnsi="宋体" w:cs="宋体"/>
          <w:b/>
          <w:kern w:val="0"/>
          <w:sz w:val="24"/>
        </w:rPr>
        <w:t>：</w:t>
      </w:r>
    </w:p>
    <w:p>
      <w:pPr>
        <w:widowControl/>
        <w:spacing w:line="520" w:lineRule="exact"/>
        <w:jc w:val="left"/>
        <w:rPr>
          <w:rFonts w:ascii="宋体" w:hAnsi="宋体" w:cs="宋体"/>
          <w:kern w:val="0"/>
          <w:sz w:val="24"/>
        </w:rPr>
      </w:pPr>
      <w:r>
        <w:rPr>
          <w:rFonts w:hint="eastAsia" w:ascii="宋体" w:hAnsi="宋体" w:cs="宋体"/>
          <w:kern w:val="0"/>
          <w:sz w:val="24"/>
        </w:rPr>
        <w:t>根据贵司号招标文件要求，我司签字代表（姓名、职务）已被正式授权代表投标人（投标人名称）提交下述文件：</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⑴开标一览表</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⑵分项报价表</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⑶投标事项承诺</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⑷投标资格证明文件</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⑸……</w:t>
      </w:r>
    </w:p>
    <w:p>
      <w:pPr>
        <w:widowControl/>
        <w:spacing w:line="520" w:lineRule="exact"/>
        <w:jc w:val="left"/>
        <w:rPr>
          <w:rFonts w:ascii="宋体" w:hAnsi="宋体" w:cs="宋体"/>
          <w:kern w:val="0"/>
          <w:sz w:val="24"/>
        </w:rPr>
      </w:pPr>
      <w:r>
        <w:rPr>
          <w:rFonts w:hint="eastAsia" w:ascii="宋体" w:hAnsi="宋体" w:cs="宋体"/>
          <w:kern w:val="0"/>
          <w:sz w:val="24"/>
        </w:rPr>
        <w:t xml:space="preserve">    同时，签字代表宣布承诺如下：</w:t>
      </w:r>
    </w:p>
    <w:p>
      <w:pPr>
        <w:widowControl/>
        <w:spacing w:line="520" w:lineRule="exact"/>
        <w:ind w:firstLine="480"/>
        <w:jc w:val="left"/>
        <w:rPr>
          <w:rFonts w:ascii="宋体" w:hAnsi="宋体" w:cs="宋体"/>
          <w:kern w:val="0"/>
          <w:sz w:val="24"/>
        </w:rPr>
      </w:pPr>
      <w:r>
        <w:rPr>
          <w:rFonts w:hint="eastAsia" w:ascii="宋体" w:hAnsi="宋体" w:cs="宋体"/>
          <w:kern w:val="0"/>
          <w:sz w:val="24"/>
        </w:rPr>
        <w:t>⑴投标人已详细阅读全部招标文件（含修改文件），并理解其实质性内容，同意承担其规定的全部义务和相关责任。</w:t>
      </w:r>
    </w:p>
    <w:p>
      <w:pPr>
        <w:widowControl/>
        <w:spacing w:line="520" w:lineRule="exact"/>
        <w:ind w:firstLine="480"/>
        <w:jc w:val="left"/>
        <w:rPr>
          <w:rFonts w:ascii="宋体" w:hAnsi="宋体" w:cs="宋体"/>
          <w:kern w:val="0"/>
          <w:sz w:val="24"/>
        </w:rPr>
      </w:pPr>
      <w:r>
        <w:rPr>
          <w:rFonts w:hint="eastAsia" w:ascii="宋体" w:hAnsi="宋体" w:cs="宋体"/>
          <w:kern w:val="0"/>
          <w:sz w:val="24"/>
        </w:rPr>
        <w:t>⑵投标人严格按照招标文件的规定报价，如被确定为中标单位后，将全面履行合同。</w:t>
      </w:r>
    </w:p>
    <w:p>
      <w:pPr>
        <w:widowControl/>
        <w:spacing w:line="520" w:lineRule="exact"/>
        <w:ind w:firstLine="480"/>
        <w:jc w:val="left"/>
        <w:rPr>
          <w:rFonts w:ascii="宋体" w:hAnsi="宋体" w:cs="宋体"/>
          <w:kern w:val="0"/>
          <w:sz w:val="24"/>
        </w:rPr>
      </w:pPr>
      <w:r>
        <w:rPr>
          <w:rFonts w:hint="eastAsia" w:ascii="宋体" w:hAnsi="宋体" w:cs="宋体"/>
          <w:kern w:val="0"/>
          <w:sz w:val="24"/>
        </w:rPr>
        <w:t>⑶投标人在交付贰仟元保证金后，如出现串标、毁标、中标后不签订合同等违规行为，招标人有权没收该保证金。</w:t>
      </w:r>
    </w:p>
    <w:p>
      <w:pPr>
        <w:widowControl/>
        <w:spacing w:line="520" w:lineRule="exact"/>
        <w:ind w:firstLine="480"/>
        <w:jc w:val="left"/>
        <w:rPr>
          <w:rFonts w:ascii="宋体" w:hAnsi="宋体" w:cs="宋体"/>
          <w:kern w:val="0"/>
          <w:sz w:val="24"/>
        </w:rPr>
      </w:pPr>
      <w:r>
        <w:rPr>
          <w:rFonts w:hint="eastAsia" w:ascii="宋体" w:hAnsi="宋体" w:cs="宋体"/>
          <w:kern w:val="0"/>
          <w:sz w:val="24"/>
        </w:rPr>
        <w:t>⑷</w:t>
      </w:r>
      <w:r>
        <w:rPr>
          <w:rFonts w:ascii="宋体" w:hAnsi="宋体" w:cs="宋体"/>
          <w:color w:val="000000"/>
          <w:kern w:val="0"/>
          <w:sz w:val="24"/>
        </w:rPr>
        <w:t>投标人近三年</w:t>
      </w:r>
      <w:r>
        <w:rPr>
          <w:rFonts w:hint="eastAsia" w:ascii="宋体" w:hAnsi="宋体" w:cs="宋体"/>
          <w:color w:val="000000"/>
          <w:kern w:val="0"/>
          <w:sz w:val="24"/>
        </w:rPr>
        <w:t>来</w:t>
      </w:r>
      <w:r>
        <w:rPr>
          <w:rFonts w:ascii="宋体" w:hAnsi="宋体" w:cs="宋体"/>
          <w:color w:val="000000"/>
          <w:kern w:val="0"/>
          <w:sz w:val="24"/>
        </w:rPr>
        <w:t>没有骗取中标和严重违约及重大质量、安全问题</w:t>
      </w:r>
      <w:r>
        <w:rPr>
          <w:rFonts w:hint="eastAsia" w:ascii="宋体" w:hAnsi="宋体" w:cs="宋体"/>
          <w:color w:val="000000"/>
          <w:kern w:val="0"/>
          <w:sz w:val="24"/>
        </w:rPr>
        <w:t>。</w:t>
      </w:r>
    </w:p>
    <w:p>
      <w:pPr>
        <w:widowControl/>
        <w:spacing w:line="520" w:lineRule="exact"/>
        <w:ind w:firstLine="480"/>
        <w:jc w:val="left"/>
        <w:rPr>
          <w:rFonts w:ascii="宋体" w:hAnsi="宋体" w:cs="宋体"/>
          <w:kern w:val="0"/>
          <w:sz w:val="24"/>
        </w:rPr>
      </w:pPr>
      <w:r>
        <w:rPr>
          <w:rFonts w:hint="eastAsia" w:ascii="宋体" w:hAnsi="宋体" w:cs="宋体"/>
          <w:kern w:val="0"/>
          <w:sz w:val="24"/>
        </w:rPr>
        <w:t>⑸标人同意提供招标人可能要求的与其投标有关的一切数据或资料。</w:t>
      </w:r>
    </w:p>
    <w:p>
      <w:pPr>
        <w:widowControl/>
        <w:spacing w:line="520" w:lineRule="exact"/>
        <w:ind w:firstLine="480"/>
        <w:jc w:val="left"/>
        <w:rPr>
          <w:rFonts w:ascii="宋体" w:hAnsi="宋体" w:cs="宋体"/>
          <w:kern w:val="0"/>
          <w:sz w:val="24"/>
        </w:rPr>
      </w:pPr>
      <w:r>
        <w:rPr>
          <w:rFonts w:hint="eastAsia" w:ascii="宋体" w:hAnsi="宋体" w:cs="宋体"/>
          <w:kern w:val="0"/>
          <w:sz w:val="24"/>
        </w:rPr>
        <w:t>特此承诺</w:t>
      </w:r>
    </w:p>
    <w:p>
      <w:pPr>
        <w:widowControl/>
        <w:spacing w:line="360" w:lineRule="exact"/>
        <w:ind w:left="840" w:leftChars="400"/>
        <w:jc w:val="left"/>
        <w:rPr>
          <w:rFonts w:ascii="宋体" w:hAnsi="宋体" w:cs="宋体"/>
          <w:kern w:val="0"/>
          <w:sz w:val="24"/>
        </w:rPr>
      </w:pP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投标人（公章）：</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企业法人（签字）：</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授权代表（签字）：</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二〇一九年月日</w:t>
      </w:r>
    </w:p>
    <w:p>
      <w:pPr>
        <w:widowControl/>
        <w:spacing w:line="520" w:lineRule="exact"/>
        <w:rPr>
          <w:rFonts w:ascii="宋体" w:hAnsi="宋体" w:cs="宋体"/>
          <w:b/>
          <w:color w:val="000000"/>
          <w:kern w:val="0"/>
          <w:sz w:val="24"/>
        </w:rPr>
      </w:pPr>
    </w:p>
    <w:p>
      <w:pPr>
        <w:widowControl/>
        <w:spacing w:line="520" w:lineRule="exact"/>
        <w:jc w:val="center"/>
        <w:rPr>
          <w:rFonts w:ascii="宋体" w:hAnsi="宋体" w:cs="宋体"/>
          <w:b/>
          <w:color w:val="000000"/>
          <w:kern w:val="0"/>
          <w:sz w:val="24"/>
        </w:rPr>
      </w:pPr>
      <w:r>
        <w:rPr>
          <w:rFonts w:hint="eastAsia" w:ascii="宋体" w:hAnsi="宋体" w:cs="宋体"/>
          <w:b/>
          <w:color w:val="000000"/>
          <w:kern w:val="0"/>
          <w:sz w:val="24"/>
        </w:rPr>
        <w:t>格式2  开标一览表</w:t>
      </w:r>
    </w:p>
    <w:p>
      <w:pPr>
        <w:widowControl/>
        <w:spacing w:line="520" w:lineRule="exact"/>
        <w:jc w:val="left"/>
        <w:rPr>
          <w:rFonts w:ascii="宋体" w:hAnsi="宋体" w:cs="宋体"/>
          <w:b/>
          <w:color w:val="000000"/>
          <w:kern w:val="0"/>
          <w:sz w:val="24"/>
        </w:rPr>
      </w:pPr>
    </w:p>
    <w:tbl>
      <w:tblPr>
        <w:tblStyle w:val="9"/>
        <w:tblW w:w="96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3372"/>
        <w:gridCol w:w="5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4" w:hRule="atLeast"/>
          <w:jc w:val="center"/>
        </w:trPr>
        <w:tc>
          <w:tcPr>
            <w:tcW w:w="4254"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color w:val="000000"/>
                <w:kern w:val="0"/>
                <w:sz w:val="24"/>
              </w:rPr>
            </w:pPr>
            <w:r>
              <w:rPr>
                <w:rFonts w:hint="eastAsia" w:ascii="宋体" w:hAnsi="宋体" w:cs="宋体"/>
                <w:b/>
                <w:color w:val="000000"/>
                <w:kern w:val="0"/>
                <w:sz w:val="24"/>
              </w:rPr>
              <w:t>招标项目名称</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color w:val="000000"/>
                <w:kern w:val="0"/>
                <w:sz w:val="24"/>
              </w:rPr>
            </w:pPr>
            <w:r>
              <w:rPr>
                <w:rFonts w:hint="eastAsia" w:ascii="宋体" w:hAnsi="宋体" w:cs="宋体"/>
                <w:color w:val="000000"/>
                <w:kern w:val="0"/>
                <w:sz w:val="24"/>
              </w:rPr>
              <w:t>百大集团2019-2021年度电气预防性试验服务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4" w:hRule="atLeast"/>
          <w:jc w:val="center"/>
        </w:trPr>
        <w:tc>
          <w:tcPr>
            <w:tcW w:w="4254"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color w:val="000000"/>
                <w:kern w:val="0"/>
                <w:sz w:val="24"/>
              </w:rPr>
            </w:pPr>
            <w:r>
              <w:rPr>
                <w:rFonts w:hint="eastAsia" w:ascii="宋体" w:hAnsi="宋体" w:cs="宋体"/>
                <w:b/>
                <w:color w:val="000000"/>
                <w:kern w:val="0"/>
                <w:sz w:val="24"/>
              </w:rPr>
              <w:t>招标编号</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color w:val="000000"/>
                <w:kern w:val="0"/>
                <w:sz w:val="24"/>
              </w:rPr>
            </w:pPr>
            <w:r>
              <w:rPr>
                <w:rFonts w:hint="eastAsia" w:ascii="宋体" w:hAnsi="宋体" w:cs="宋体"/>
                <w:color w:val="000000"/>
                <w:kern w:val="0"/>
                <w:sz w:val="24"/>
              </w:rPr>
              <w:t>HBZ-1</w:t>
            </w:r>
            <w:r>
              <w:rPr>
                <w:rFonts w:hint="eastAsia" w:ascii="宋体" w:hAnsi="宋体" w:cs="宋体"/>
                <w:color w:val="000000"/>
                <w:kern w:val="0"/>
                <w:sz w:val="24"/>
                <w:lang w:val="en-US" w:eastAsia="zh-CN"/>
              </w:rPr>
              <w:t>9117</w:t>
            </w:r>
            <w:r>
              <w:rPr>
                <w:rFonts w:hint="eastAsia" w:ascii="宋体" w:hAnsi="宋体" w:cs="宋体"/>
                <w:color w:val="000000"/>
                <w:kern w:val="0"/>
                <w:sz w:val="24"/>
              </w:rPr>
              <w:t>-JT11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4" w:hRule="atLeast"/>
          <w:jc w:val="center"/>
        </w:trPr>
        <w:tc>
          <w:tcPr>
            <w:tcW w:w="4254"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color w:val="000000"/>
                <w:kern w:val="0"/>
                <w:sz w:val="24"/>
              </w:rPr>
            </w:pPr>
            <w:r>
              <w:rPr>
                <w:rFonts w:hint="eastAsia" w:ascii="宋体" w:hAnsi="宋体" w:cs="宋体"/>
                <w:b/>
                <w:color w:val="000000"/>
                <w:kern w:val="0"/>
                <w:sz w:val="24"/>
              </w:rPr>
              <w:t>投标人全称</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9640"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宋体" w:hAnsi="宋体" w:cs="宋体"/>
                <w:b/>
                <w:color w:val="000000"/>
                <w:kern w:val="0"/>
                <w:sz w:val="24"/>
              </w:rPr>
            </w:pPr>
            <w:r>
              <w:rPr>
                <w:rFonts w:hint="eastAsia" w:ascii="宋体" w:hAnsi="宋体" w:cs="宋体"/>
                <w:b/>
                <w:color w:val="000000"/>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color w:val="000000"/>
                <w:kern w:val="0"/>
                <w:sz w:val="24"/>
              </w:rPr>
            </w:pPr>
            <w:r>
              <w:rPr>
                <w:rFonts w:hint="eastAsia" w:ascii="宋体" w:hAnsi="宋体" w:cs="宋体"/>
                <w:color w:val="000000"/>
                <w:kern w:val="0"/>
                <w:sz w:val="24"/>
              </w:rPr>
              <w:t>1</w:t>
            </w:r>
          </w:p>
        </w:tc>
        <w:tc>
          <w:tcPr>
            <w:tcW w:w="337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color w:val="000000"/>
                <w:kern w:val="28"/>
                <w:sz w:val="24"/>
              </w:rPr>
            </w:pPr>
            <w:r>
              <w:rPr>
                <w:rFonts w:hint="eastAsia"/>
                <w:color w:val="000000"/>
                <w:kern w:val="28"/>
                <w:sz w:val="24"/>
              </w:rPr>
              <w:t>服务内容</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color w:val="000000"/>
                <w:kern w:val="0"/>
                <w:sz w:val="24"/>
              </w:rPr>
            </w:pPr>
            <w:r>
              <w:rPr>
                <w:rFonts w:hint="eastAsia" w:ascii="宋体" w:hAnsi="宋体" w:cs="宋体"/>
                <w:color w:val="000000"/>
                <w:kern w:val="0"/>
                <w:sz w:val="24"/>
              </w:rPr>
              <w:t>是否响应招标文件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color w:val="000000"/>
                <w:kern w:val="0"/>
                <w:sz w:val="24"/>
              </w:rPr>
            </w:pPr>
            <w:r>
              <w:rPr>
                <w:rFonts w:hint="eastAsia" w:ascii="宋体" w:hAnsi="宋体" w:cs="宋体"/>
                <w:color w:val="000000"/>
                <w:kern w:val="0"/>
                <w:sz w:val="24"/>
              </w:rPr>
              <w:t>2</w:t>
            </w:r>
          </w:p>
        </w:tc>
        <w:tc>
          <w:tcPr>
            <w:tcW w:w="337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color w:val="000000"/>
                <w:kern w:val="28"/>
                <w:sz w:val="24"/>
              </w:rPr>
            </w:pPr>
            <w:r>
              <w:rPr>
                <w:rFonts w:hint="eastAsia"/>
                <w:color w:val="000000"/>
                <w:kern w:val="28"/>
                <w:sz w:val="24"/>
              </w:rPr>
              <w:t>付款方式</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color w:val="000000"/>
                <w:kern w:val="0"/>
                <w:sz w:val="24"/>
              </w:rPr>
            </w:pPr>
            <w:r>
              <w:rPr>
                <w:rFonts w:hint="eastAsia" w:ascii="宋体" w:hAnsi="宋体" w:cs="宋体"/>
                <w:color w:val="000000"/>
                <w:kern w:val="0"/>
                <w:sz w:val="24"/>
              </w:rPr>
              <w:t>是否响应招标文件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color w:val="000000"/>
                <w:kern w:val="0"/>
                <w:sz w:val="24"/>
              </w:rPr>
            </w:pPr>
            <w:r>
              <w:rPr>
                <w:rFonts w:hint="eastAsia" w:ascii="宋体" w:hAnsi="宋体" w:cs="宋体"/>
                <w:color w:val="000000"/>
                <w:kern w:val="0"/>
                <w:sz w:val="24"/>
              </w:rPr>
              <w:t>3</w:t>
            </w:r>
          </w:p>
        </w:tc>
        <w:tc>
          <w:tcPr>
            <w:tcW w:w="337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color w:val="000000"/>
                <w:kern w:val="28"/>
                <w:sz w:val="24"/>
              </w:rPr>
            </w:pPr>
            <w:r>
              <w:rPr>
                <w:rFonts w:hint="eastAsia"/>
                <w:color w:val="000000"/>
                <w:kern w:val="28"/>
                <w:sz w:val="24"/>
              </w:rPr>
              <w:t>技术要求</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color w:val="000000"/>
                <w:kern w:val="0"/>
                <w:sz w:val="24"/>
              </w:rPr>
            </w:pPr>
            <w:r>
              <w:rPr>
                <w:rFonts w:hint="eastAsia" w:ascii="宋体" w:hAnsi="宋体" w:cs="宋体"/>
                <w:color w:val="000000"/>
                <w:kern w:val="0"/>
                <w:sz w:val="24"/>
              </w:rPr>
              <w:t>是否响应招标文件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4" w:hRule="atLeast"/>
          <w:jc w:val="center"/>
        </w:trPr>
        <w:tc>
          <w:tcPr>
            <w:tcW w:w="9640"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rPr>
                <w:rFonts w:ascii="宋体" w:hAnsi="宋体" w:cs="宋体"/>
                <w:color w:val="000000"/>
                <w:kern w:val="0"/>
                <w:sz w:val="24"/>
              </w:rPr>
            </w:pPr>
            <w:r>
              <w:rPr>
                <w:rFonts w:hint="eastAsia" w:ascii="宋体" w:hAnsi="宋体" w:cs="宋体"/>
                <w:b/>
                <w:color w:val="000000"/>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81" w:hRule="atLeast"/>
          <w:jc w:val="center"/>
        </w:trPr>
        <w:tc>
          <w:tcPr>
            <w:tcW w:w="882" w:type="dxa"/>
            <w:tcBorders>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color w:val="000000"/>
                <w:kern w:val="0"/>
                <w:sz w:val="24"/>
              </w:rPr>
            </w:pPr>
            <w:r>
              <w:rPr>
                <w:rFonts w:hint="eastAsia" w:ascii="宋体" w:hAnsi="宋体" w:cs="宋体"/>
                <w:color w:val="000000"/>
                <w:kern w:val="0"/>
                <w:sz w:val="24"/>
              </w:rPr>
              <w:t>1</w:t>
            </w:r>
          </w:p>
        </w:tc>
        <w:tc>
          <w:tcPr>
            <w:tcW w:w="337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宋体" w:hAnsi="宋体" w:cs="宋体"/>
                <w:color w:val="000000"/>
                <w:kern w:val="0"/>
                <w:sz w:val="24"/>
              </w:rPr>
            </w:pPr>
            <w:r>
              <w:rPr>
                <w:rFonts w:hint="eastAsia" w:ascii="宋体" w:hAnsi="宋体" w:cs="宋体"/>
                <w:color w:val="000000"/>
                <w:kern w:val="0"/>
                <w:sz w:val="24"/>
              </w:rPr>
              <w:t>投标总报价</w:t>
            </w:r>
          </w:p>
        </w:tc>
        <w:tc>
          <w:tcPr>
            <w:tcW w:w="5386"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color w:val="000000"/>
                <w:sz w:val="24"/>
              </w:rPr>
            </w:pPr>
            <w:r>
              <w:rPr>
                <w:rFonts w:hint="eastAsia" w:ascii="宋体"/>
                <w:color w:val="000000"/>
                <w:sz w:val="24"/>
              </w:rPr>
              <w:t>大写：人民币</w:t>
            </w:r>
            <w:r>
              <w:rPr>
                <w:rFonts w:hint="eastAsia" w:ascii="宋体"/>
                <w:color w:val="000000"/>
                <w:sz w:val="24"/>
                <w:u w:val="single"/>
              </w:rPr>
              <w:t xml:space="preserve">                  </w:t>
            </w:r>
            <w:r>
              <w:rPr>
                <w:rFonts w:hint="eastAsia" w:ascii="宋体"/>
                <w:color w:val="000000"/>
                <w:sz w:val="24"/>
              </w:rPr>
              <w:t>元；</w:t>
            </w:r>
          </w:p>
          <w:p>
            <w:pPr>
              <w:spacing w:line="520" w:lineRule="exact"/>
              <w:rPr>
                <w:rFonts w:ascii="宋体"/>
                <w:color w:val="000000"/>
                <w:sz w:val="24"/>
              </w:rPr>
            </w:pPr>
            <w:r>
              <w:rPr>
                <w:rFonts w:hint="eastAsia" w:ascii="宋体"/>
                <w:color w:val="000000"/>
                <w:sz w:val="24"/>
              </w:rPr>
              <w:t>小写：￥</w:t>
            </w:r>
            <w:r>
              <w:rPr>
                <w:rFonts w:hint="eastAsia" w:ascii="宋体"/>
                <w:color w:val="000000"/>
                <w:sz w:val="24"/>
                <w:u w:val="single"/>
              </w:rPr>
              <w:t xml:space="preserve">                      </w:t>
            </w:r>
            <w:r>
              <w:rPr>
                <w:rFonts w:hint="eastAsia" w:ascii="宋体"/>
                <w:color w:val="00000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88" w:hRule="atLeast"/>
          <w:jc w:val="center"/>
        </w:trPr>
        <w:tc>
          <w:tcPr>
            <w:tcW w:w="4254" w:type="dxa"/>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rPr>
                <w:color w:val="000000"/>
                <w:kern w:val="28"/>
                <w:sz w:val="24"/>
              </w:rPr>
            </w:pPr>
            <w:r>
              <w:rPr>
                <w:rFonts w:hint="eastAsia"/>
                <w:color w:val="000000"/>
                <w:kern w:val="28"/>
                <w:sz w:val="24"/>
              </w:rPr>
              <w:t>备注</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color w:val="000000"/>
                <w:kern w:val="0"/>
                <w:sz w:val="24"/>
              </w:rPr>
            </w:pPr>
          </w:p>
        </w:tc>
      </w:tr>
    </w:tbl>
    <w:p>
      <w:pPr>
        <w:widowControl/>
        <w:spacing w:line="800" w:lineRule="exact"/>
        <w:jc w:val="left"/>
        <w:rPr>
          <w:rFonts w:ascii="宋体" w:hAnsi="宋体" w:cs="宋体"/>
          <w:b/>
          <w:color w:val="000000"/>
          <w:kern w:val="0"/>
          <w:sz w:val="24"/>
        </w:rPr>
      </w:pPr>
      <w:r>
        <w:rPr>
          <w:rFonts w:hint="eastAsia" w:ascii="宋体" w:hAnsi="宋体" w:cs="宋体"/>
          <w:b/>
          <w:color w:val="000000"/>
          <w:kern w:val="0"/>
          <w:sz w:val="24"/>
        </w:rPr>
        <w:t>投标人（签章）：                                授权代表（签字）：</w:t>
      </w:r>
    </w:p>
    <w:p>
      <w:pPr>
        <w:widowControl/>
        <w:spacing w:line="800" w:lineRule="exact"/>
        <w:jc w:val="left"/>
        <w:rPr>
          <w:rFonts w:ascii="宋体" w:hAnsi="宋体"/>
          <w:b/>
          <w:color w:val="000000"/>
          <w:kern w:val="0"/>
          <w:sz w:val="24"/>
        </w:rPr>
      </w:pPr>
      <w:r>
        <w:rPr>
          <w:rFonts w:hint="eastAsia" w:ascii="宋体" w:hAnsi="宋体" w:cs="宋体"/>
          <w:b/>
          <w:color w:val="000000"/>
          <w:kern w:val="0"/>
          <w:sz w:val="24"/>
        </w:rPr>
        <w:t>联系方式：                                      二〇一九年</w:t>
      </w:r>
      <w:r>
        <w:rPr>
          <w:rFonts w:hint="eastAsia" w:ascii="宋体" w:hAnsi="宋体" w:cs="宋体"/>
          <w:b/>
          <w:color w:val="000000"/>
          <w:kern w:val="0"/>
          <w:sz w:val="24"/>
          <w:u w:val="single"/>
        </w:rPr>
        <w:t xml:space="preserve">   </w:t>
      </w:r>
      <w:r>
        <w:rPr>
          <w:rFonts w:hint="eastAsia" w:ascii="宋体" w:hAnsi="宋体" w:cs="宋体"/>
          <w:b/>
          <w:color w:val="000000"/>
          <w:kern w:val="0"/>
          <w:sz w:val="24"/>
        </w:rPr>
        <w:t>月</w:t>
      </w:r>
      <w:r>
        <w:rPr>
          <w:rFonts w:hint="eastAsia" w:ascii="宋体" w:hAnsi="宋体" w:cs="宋体"/>
          <w:b/>
          <w:color w:val="000000"/>
          <w:kern w:val="0"/>
          <w:sz w:val="24"/>
          <w:u w:val="single"/>
        </w:rPr>
        <w:t xml:space="preserve">   </w:t>
      </w:r>
      <w:r>
        <w:rPr>
          <w:rFonts w:hint="eastAsia" w:ascii="宋体" w:hAnsi="宋体" w:cs="宋体"/>
          <w:b/>
          <w:color w:val="000000"/>
          <w:kern w:val="0"/>
          <w:sz w:val="24"/>
        </w:rPr>
        <w:t>日</w:t>
      </w:r>
    </w:p>
    <w:p>
      <w:pPr>
        <w:widowControl/>
        <w:spacing w:line="520" w:lineRule="exact"/>
        <w:rPr>
          <w:rFonts w:ascii="宋体" w:hAnsi="宋体" w:cs="宋体"/>
          <w:b/>
          <w:color w:val="000000"/>
          <w:kern w:val="0"/>
          <w:sz w:val="24"/>
        </w:rPr>
      </w:pPr>
    </w:p>
    <w:p>
      <w:pPr>
        <w:widowControl/>
        <w:spacing w:line="520" w:lineRule="exact"/>
        <w:rPr>
          <w:rFonts w:ascii="宋体" w:hAnsi="宋体" w:cs="宋体"/>
          <w:b/>
          <w:color w:val="000000"/>
          <w:kern w:val="0"/>
          <w:sz w:val="24"/>
        </w:rPr>
      </w:pPr>
      <w:r>
        <w:rPr>
          <w:rFonts w:hint="eastAsia" w:ascii="宋体" w:hAnsi="宋体" w:cs="宋体"/>
          <w:b/>
          <w:color w:val="000000"/>
          <w:kern w:val="0"/>
          <w:sz w:val="24"/>
        </w:rPr>
        <w:t>注：1.招标</w:t>
      </w:r>
      <w:r>
        <w:rPr>
          <w:rFonts w:hint="eastAsia" w:ascii="宋体" w:hAnsi="宋体"/>
          <w:b/>
          <w:color w:val="000000"/>
          <w:sz w:val="24"/>
        </w:rPr>
        <w:t>人不建议投标人采用总价优惠或以总价百分比优惠的方式进行投标报价，其优惠须直接计算并体现在投标总报价中</w:t>
      </w:r>
      <w:r>
        <w:rPr>
          <w:rFonts w:hint="eastAsia" w:ascii="宋体" w:hAnsi="宋体" w:cs="宋体"/>
          <w:b/>
          <w:color w:val="000000"/>
          <w:kern w:val="0"/>
          <w:sz w:val="24"/>
        </w:rPr>
        <w:t>；</w:t>
      </w:r>
    </w:p>
    <w:p>
      <w:pPr>
        <w:widowControl/>
        <w:numPr>
          <w:ilvl w:val="0"/>
          <w:numId w:val="2"/>
        </w:numPr>
        <w:spacing w:line="520" w:lineRule="exact"/>
        <w:ind w:firstLine="472" w:firstLineChars="196"/>
        <w:jc w:val="left"/>
        <w:rPr>
          <w:rFonts w:ascii="宋体" w:hAnsi="宋体" w:cs="宋体"/>
          <w:b/>
          <w:color w:val="000000"/>
          <w:kern w:val="0"/>
          <w:sz w:val="24"/>
        </w:rPr>
      </w:pPr>
      <w:r>
        <w:rPr>
          <w:rFonts w:hint="eastAsia" w:ascii="宋体" w:hAnsi="宋体" w:cs="宋体"/>
          <w:b/>
          <w:color w:val="000000"/>
          <w:kern w:val="0"/>
          <w:sz w:val="24"/>
        </w:rPr>
        <w:t>表中报价大小写不一致时，以大写为准；此表报价如与《投标分项报价表》不一致时，以此表为准；</w:t>
      </w:r>
    </w:p>
    <w:p>
      <w:pPr>
        <w:widowControl/>
        <w:spacing w:line="520" w:lineRule="exact"/>
        <w:jc w:val="center"/>
        <w:rPr>
          <w:rFonts w:ascii="宋体" w:hAnsi="宋体" w:cs="宋体"/>
          <w:b/>
          <w:color w:val="000000"/>
          <w:kern w:val="0"/>
          <w:sz w:val="24"/>
        </w:rPr>
      </w:pPr>
    </w:p>
    <w:p>
      <w:pPr>
        <w:widowControl/>
        <w:spacing w:line="520" w:lineRule="exact"/>
        <w:jc w:val="center"/>
        <w:rPr>
          <w:rFonts w:ascii="宋体" w:hAnsi="宋体" w:cs="宋体"/>
          <w:b/>
          <w:color w:val="000000"/>
          <w:kern w:val="0"/>
          <w:sz w:val="24"/>
        </w:rPr>
      </w:pPr>
      <w:r>
        <w:rPr>
          <w:rFonts w:hint="eastAsia" w:ascii="宋体" w:hAnsi="宋体" w:cs="宋体"/>
          <w:b/>
          <w:color w:val="000000"/>
          <w:kern w:val="0"/>
          <w:sz w:val="24"/>
        </w:rPr>
        <w:t>格式3 分项报价表</w:t>
      </w:r>
    </w:p>
    <w:tbl>
      <w:tblPr>
        <w:tblStyle w:val="9"/>
        <w:tblpPr w:leftFromText="180" w:rightFromText="180" w:vertAnchor="text" w:horzAnchor="margin" w:tblpXSpec="center" w:tblpY="340"/>
        <w:tblW w:w="10314" w:type="dxa"/>
        <w:tblInd w:w="0" w:type="dxa"/>
        <w:tblLayout w:type="fixed"/>
        <w:tblCellMar>
          <w:top w:w="0" w:type="dxa"/>
          <w:left w:w="108" w:type="dxa"/>
          <w:bottom w:w="0" w:type="dxa"/>
          <w:right w:w="108" w:type="dxa"/>
        </w:tblCellMar>
      </w:tblPr>
      <w:tblGrid>
        <w:gridCol w:w="709"/>
        <w:gridCol w:w="1418"/>
        <w:gridCol w:w="1648"/>
        <w:gridCol w:w="2037"/>
        <w:gridCol w:w="993"/>
        <w:gridCol w:w="992"/>
        <w:gridCol w:w="1100"/>
        <w:gridCol w:w="1417"/>
      </w:tblGrid>
      <w:tr>
        <w:tblPrEx>
          <w:tblLayout w:type="fixed"/>
          <w:tblCellMar>
            <w:top w:w="0" w:type="dxa"/>
            <w:left w:w="108" w:type="dxa"/>
            <w:bottom w:w="0" w:type="dxa"/>
            <w:right w:w="108" w:type="dxa"/>
          </w:tblCellMar>
        </w:tblPrEx>
        <w:trPr>
          <w:trHeight w:val="585" w:hRule="atLeast"/>
        </w:trPr>
        <w:tc>
          <w:tcPr>
            <w:tcW w:w="709" w:type="dxa"/>
            <w:tcBorders>
              <w:top w:val="single" w:color="auto" w:sz="8" w:space="0"/>
              <w:left w:val="single" w:color="auto" w:sz="8" w:space="0"/>
              <w:bottom w:val="single" w:color="auto" w:sz="8" w:space="0"/>
              <w:right w:val="single" w:color="auto" w:sz="8" w:space="0"/>
            </w:tcBorders>
            <w:shd w:val="clear" w:color="000000" w:fill="FFFFFF"/>
            <w:noWrap/>
            <w:vAlign w:val="center"/>
          </w:tcPr>
          <w:p>
            <w:pPr>
              <w:widowControl/>
              <w:jc w:val="center"/>
              <w:rPr>
                <w:rFonts w:ascii="宋体" w:hAnsi="宋体" w:cs="宋体"/>
                <w:b/>
                <w:bCs/>
                <w:kern w:val="0"/>
                <w:sz w:val="24"/>
              </w:rPr>
            </w:pPr>
            <w:r>
              <w:rPr>
                <w:rFonts w:hint="eastAsia" w:ascii="宋体" w:hAnsi="宋体" w:cs="宋体"/>
                <w:b/>
                <w:bCs/>
                <w:kern w:val="0"/>
                <w:sz w:val="24"/>
              </w:rPr>
              <w:t>序号</w:t>
            </w:r>
          </w:p>
        </w:tc>
        <w:tc>
          <w:tcPr>
            <w:tcW w:w="1418" w:type="dxa"/>
            <w:tcBorders>
              <w:top w:val="single" w:color="auto" w:sz="8" w:space="0"/>
              <w:left w:val="single" w:color="auto" w:sz="8" w:space="0"/>
              <w:bottom w:val="single" w:color="auto" w:sz="8" w:space="0"/>
              <w:right w:val="single" w:color="auto" w:sz="8" w:space="0"/>
            </w:tcBorders>
            <w:shd w:val="clear" w:color="000000" w:fill="FFFFFF"/>
            <w:noWrap/>
            <w:vAlign w:val="center"/>
          </w:tcPr>
          <w:p>
            <w:pPr>
              <w:widowControl/>
              <w:jc w:val="center"/>
              <w:rPr>
                <w:rFonts w:ascii="宋体" w:hAnsi="宋体" w:cs="宋体"/>
                <w:b/>
                <w:bCs/>
                <w:kern w:val="0"/>
                <w:sz w:val="24"/>
              </w:rPr>
            </w:pPr>
            <w:r>
              <w:rPr>
                <w:rFonts w:hint="eastAsia" w:ascii="宋体" w:hAnsi="宋体" w:cs="宋体"/>
                <w:b/>
                <w:bCs/>
                <w:kern w:val="0"/>
                <w:sz w:val="24"/>
              </w:rPr>
              <w:t>项目名称</w:t>
            </w:r>
          </w:p>
        </w:tc>
        <w:tc>
          <w:tcPr>
            <w:tcW w:w="1648" w:type="dxa"/>
            <w:tcBorders>
              <w:top w:val="single" w:color="auto" w:sz="8" w:space="0"/>
              <w:left w:val="single" w:color="auto" w:sz="8" w:space="0"/>
              <w:bottom w:val="single" w:color="auto" w:sz="8" w:space="0"/>
              <w:right w:val="single" w:color="auto" w:sz="8" w:space="0"/>
            </w:tcBorders>
            <w:shd w:val="clear" w:color="000000" w:fill="FFFFFF"/>
            <w:noWrap/>
            <w:vAlign w:val="center"/>
          </w:tcPr>
          <w:p>
            <w:pPr>
              <w:widowControl/>
              <w:jc w:val="center"/>
              <w:rPr>
                <w:rFonts w:ascii="宋体" w:hAnsi="宋体" w:cs="宋体"/>
                <w:b/>
                <w:bCs/>
                <w:kern w:val="0"/>
                <w:sz w:val="24"/>
              </w:rPr>
            </w:pPr>
            <w:r>
              <w:rPr>
                <w:rFonts w:hint="eastAsia" w:ascii="宋体" w:hAnsi="宋体" w:cs="宋体"/>
                <w:b/>
                <w:bCs/>
                <w:kern w:val="0"/>
                <w:sz w:val="24"/>
              </w:rPr>
              <w:t>试验内容</w:t>
            </w:r>
          </w:p>
        </w:tc>
        <w:tc>
          <w:tcPr>
            <w:tcW w:w="2037" w:type="dxa"/>
            <w:tcBorders>
              <w:top w:val="single" w:color="auto" w:sz="8" w:space="0"/>
              <w:left w:val="single" w:color="auto" w:sz="8" w:space="0"/>
              <w:bottom w:val="single" w:color="auto" w:sz="8" w:space="0"/>
              <w:right w:val="single" w:color="auto" w:sz="8" w:space="0"/>
            </w:tcBorders>
            <w:shd w:val="clear" w:color="000000" w:fill="FFFFFF"/>
            <w:noWrap/>
            <w:vAlign w:val="center"/>
          </w:tcPr>
          <w:p>
            <w:pPr>
              <w:widowControl/>
              <w:jc w:val="center"/>
              <w:rPr>
                <w:rFonts w:ascii="宋体" w:hAnsi="宋体" w:cs="宋体"/>
                <w:b/>
                <w:bCs/>
                <w:kern w:val="0"/>
                <w:sz w:val="24"/>
              </w:rPr>
            </w:pPr>
            <w:r>
              <w:rPr>
                <w:rFonts w:hint="eastAsia" w:ascii="宋体" w:hAnsi="宋体" w:cs="宋体"/>
                <w:b/>
                <w:bCs/>
                <w:kern w:val="0"/>
                <w:sz w:val="24"/>
              </w:rPr>
              <w:t>型号规格</w:t>
            </w:r>
          </w:p>
        </w:tc>
        <w:tc>
          <w:tcPr>
            <w:tcW w:w="993" w:type="dxa"/>
            <w:tcBorders>
              <w:top w:val="single" w:color="auto" w:sz="8" w:space="0"/>
              <w:left w:val="single" w:color="auto" w:sz="8" w:space="0"/>
              <w:bottom w:val="single" w:color="auto" w:sz="8" w:space="0"/>
              <w:right w:val="single" w:color="auto" w:sz="8" w:space="0"/>
            </w:tcBorders>
            <w:shd w:val="clear" w:color="000000" w:fill="FFFFFF"/>
            <w:noWrap/>
            <w:vAlign w:val="center"/>
          </w:tcPr>
          <w:p>
            <w:pPr>
              <w:widowControl/>
              <w:jc w:val="center"/>
              <w:rPr>
                <w:rFonts w:ascii="宋体" w:hAnsi="宋体" w:cs="宋体"/>
                <w:b/>
                <w:bCs/>
                <w:kern w:val="0"/>
                <w:sz w:val="24"/>
              </w:rPr>
            </w:pPr>
            <w:r>
              <w:rPr>
                <w:rFonts w:hint="eastAsia" w:ascii="宋体" w:hAnsi="宋体" w:cs="宋体"/>
                <w:b/>
                <w:bCs/>
                <w:kern w:val="0"/>
                <w:sz w:val="24"/>
              </w:rPr>
              <w:t>数量</w:t>
            </w:r>
          </w:p>
        </w:tc>
        <w:tc>
          <w:tcPr>
            <w:tcW w:w="992" w:type="dxa"/>
            <w:tcBorders>
              <w:top w:val="single" w:color="auto" w:sz="8" w:space="0"/>
              <w:left w:val="single" w:color="auto" w:sz="8" w:space="0"/>
              <w:bottom w:val="single" w:color="auto" w:sz="8" w:space="0"/>
              <w:right w:val="single" w:color="auto" w:sz="8" w:space="0"/>
            </w:tcBorders>
            <w:shd w:val="clear" w:color="000000" w:fill="FFFFFF"/>
            <w:noWrap/>
            <w:vAlign w:val="center"/>
          </w:tcPr>
          <w:p>
            <w:pPr>
              <w:widowControl/>
              <w:jc w:val="center"/>
              <w:rPr>
                <w:rFonts w:ascii="宋体" w:hAnsi="宋体" w:cs="宋体"/>
                <w:b/>
                <w:bCs/>
                <w:kern w:val="0"/>
                <w:sz w:val="24"/>
              </w:rPr>
            </w:pPr>
            <w:r>
              <w:rPr>
                <w:rFonts w:hint="eastAsia" w:ascii="宋体" w:hAnsi="宋体" w:cs="宋体"/>
                <w:b/>
                <w:bCs/>
                <w:kern w:val="0"/>
                <w:sz w:val="24"/>
              </w:rPr>
              <w:t>单价</w:t>
            </w:r>
          </w:p>
        </w:tc>
        <w:tc>
          <w:tcPr>
            <w:tcW w:w="1100" w:type="dxa"/>
            <w:tcBorders>
              <w:top w:val="single" w:color="auto" w:sz="8" w:space="0"/>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b/>
                <w:bCs/>
                <w:kern w:val="0"/>
                <w:sz w:val="24"/>
              </w:rPr>
            </w:pPr>
            <w:r>
              <w:rPr>
                <w:rFonts w:hint="eastAsia" w:ascii="宋体" w:hAnsi="宋体" w:cs="宋体"/>
                <w:b/>
                <w:bCs/>
                <w:kern w:val="0"/>
                <w:sz w:val="24"/>
              </w:rPr>
              <w:t>合计</w:t>
            </w:r>
          </w:p>
        </w:tc>
        <w:tc>
          <w:tcPr>
            <w:tcW w:w="1417" w:type="dxa"/>
            <w:tcBorders>
              <w:top w:val="single" w:color="auto" w:sz="8" w:space="0"/>
              <w:left w:val="single" w:color="auto" w:sz="8" w:space="0"/>
              <w:bottom w:val="single" w:color="auto" w:sz="8" w:space="0"/>
              <w:right w:val="single" w:color="auto" w:sz="8" w:space="0"/>
            </w:tcBorders>
            <w:shd w:val="clear" w:color="000000" w:fill="FFFFFF"/>
            <w:noWrap/>
            <w:vAlign w:val="center"/>
          </w:tcPr>
          <w:p>
            <w:pPr>
              <w:widowControl/>
              <w:jc w:val="center"/>
              <w:rPr>
                <w:rFonts w:ascii="宋体" w:hAnsi="宋体" w:cs="宋体"/>
                <w:b/>
                <w:bCs/>
                <w:kern w:val="0"/>
                <w:sz w:val="24"/>
              </w:rPr>
            </w:pPr>
            <w:r>
              <w:rPr>
                <w:rFonts w:hint="eastAsia" w:ascii="宋体" w:hAnsi="宋体" w:cs="宋体"/>
                <w:b/>
                <w:bCs/>
                <w:kern w:val="0"/>
                <w:sz w:val="24"/>
              </w:rPr>
              <w:t>备注</w:t>
            </w:r>
          </w:p>
        </w:tc>
      </w:tr>
      <w:tr>
        <w:tblPrEx>
          <w:tblLayout w:type="fixed"/>
          <w:tblCellMar>
            <w:top w:w="0" w:type="dxa"/>
            <w:left w:w="108" w:type="dxa"/>
            <w:bottom w:w="0" w:type="dxa"/>
            <w:right w:w="108" w:type="dxa"/>
          </w:tblCellMar>
        </w:tblPrEx>
        <w:trPr>
          <w:trHeight w:val="1300" w:hRule="atLeast"/>
        </w:trPr>
        <w:tc>
          <w:tcPr>
            <w:tcW w:w="70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18"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10KV变压器</w:t>
            </w:r>
          </w:p>
        </w:tc>
        <w:tc>
          <w:tcPr>
            <w:tcW w:w="164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变比、直阻、绝缘、交流耐压、铁芯绝缘</w:t>
            </w:r>
          </w:p>
        </w:tc>
        <w:tc>
          <w:tcPr>
            <w:tcW w:w="2037" w:type="dxa"/>
            <w:tcBorders>
              <w:top w:val="single" w:color="auto" w:sz="8" w:space="0"/>
              <w:left w:val="single" w:color="auto" w:sz="8" w:space="0"/>
              <w:bottom w:val="single" w:color="auto" w:sz="8" w:space="0"/>
              <w:right w:val="single" w:color="auto" w:sz="8"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1000KVA及以下</w:t>
            </w:r>
          </w:p>
        </w:tc>
        <w:tc>
          <w:tcPr>
            <w:tcW w:w="993" w:type="dxa"/>
            <w:tcBorders>
              <w:top w:val="single" w:color="auto" w:sz="8" w:space="0"/>
              <w:left w:val="single" w:color="auto" w:sz="8" w:space="0"/>
              <w:bottom w:val="single" w:color="auto" w:sz="8" w:space="0"/>
              <w:right w:val="single" w:color="auto" w:sz="8"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30</w:t>
            </w:r>
          </w:p>
        </w:tc>
        <w:tc>
          <w:tcPr>
            <w:tcW w:w="992" w:type="dxa"/>
            <w:tcBorders>
              <w:top w:val="single" w:color="auto" w:sz="8" w:space="0"/>
              <w:left w:val="single" w:color="auto" w:sz="8" w:space="0"/>
              <w:bottom w:val="single" w:color="auto" w:sz="8" w:space="0"/>
              <w:right w:val="single" w:color="auto" w:sz="8" w:space="0"/>
            </w:tcBorders>
            <w:shd w:val="clear" w:color="000000" w:fill="FFFFFF"/>
            <w:noWrap/>
            <w:vAlign w:val="center"/>
          </w:tcPr>
          <w:p>
            <w:pPr>
              <w:widowControl/>
              <w:rPr>
                <w:rFonts w:ascii="宋体" w:hAnsi="宋体" w:cs="宋体"/>
                <w:kern w:val="0"/>
                <w:sz w:val="24"/>
              </w:rPr>
            </w:pPr>
          </w:p>
        </w:tc>
        <w:tc>
          <w:tcPr>
            <w:tcW w:w="1100" w:type="dxa"/>
            <w:tcBorders>
              <w:top w:val="single" w:color="auto" w:sz="8" w:space="0"/>
              <w:left w:val="single" w:color="auto" w:sz="8" w:space="0"/>
              <w:bottom w:val="single" w:color="auto" w:sz="8" w:space="0"/>
              <w:right w:val="single" w:color="auto" w:sz="8" w:space="0"/>
            </w:tcBorders>
            <w:shd w:val="clear" w:color="000000" w:fill="FFFFFF"/>
          </w:tcPr>
          <w:p>
            <w:pPr>
              <w:widowControl/>
              <w:jc w:val="center"/>
              <w:rPr>
                <w:rFonts w:ascii="宋体" w:hAnsi="宋体" w:cs="宋体"/>
                <w:b/>
                <w:bCs/>
                <w:kern w:val="0"/>
                <w:sz w:val="24"/>
              </w:rPr>
            </w:pPr>
          </w:p>
        </w:tc>
        <w:tc>
          <w:tcPr>
            <w:tcW w:w="1417" w:type="dxa"/>
            <w:tcBorders>
              <w:top w:val="single" w:color="auto" w:sz="8" w:space="0"/>
              <w:left w:val="single" w:color="auto" w:sz="8" w:space="0"/>
              <w:bottom w:val="single" w:color="auto" w:sz="8" w:space="0"/>
              <w:right w:val="single" w:color="auto" w:sz="8" w:space="0"/>
            </w:tcBorders>
            <w:shd w:val="clear" w:color="000000" w:fill="FFFFFF"/>
            <w:noWrap/>
            <w:vAlign w:val="center"/>
          </w:tcPr>
          <w:p>
            <w:pPr>
              <w:widowControl/>
              <w:jc w:val="center"/>
              <w:rPr>
                <w:rFonts w:ascii="宋体" w:hAnsi="宋体" w:cs="宋体"/>
                <w:b/>
                <w:bCs/>
                <w:kern w:val="0"/>
                <w:sz w:val="24"/>
              </w:rPr>
            </w:pPr>
            <w:r>
              <w:rPr>
                <w:rFonts w:hint="eastAsia" w:ascii="宋体" w:hAnsi="宋体" w:cs="宋体"/>
                <w:b/>
                <w:bCs/>
                <w:kern w:val="0"/>
                <w:sz w:val="24"/>
              </w:rPr>
              <w:t>　</w:t>
            </w:r>
          </w:p>
        </w:tc>
      </w:tr>
      <w:tr>
        <w:tblPrEx>
          <w:tblLayout w:type="fixed"/>
          <w:tblCellMar>
            <w:top w:w="0" w:type="dxa"/>
            <w:left w:w="108" w:type="dxa"/>
            <w:bottom w:w="0" w:type="dxa"/>
            <w:right w:w="108" w:type="dxa"/>
          </w:tblCellMar>
        </w:tblPrEx>
        <w:trPr>
          <w:trHeight w:val="1058" w:hRule="atLeast"/>
        </w:trPr>
        <w:tc>
          <w:tcPr>
            <w:tcW w:w="70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18" w:type="dxa"/>
            <w:tcBorders>
              <w:top w:val="single" w:color="auto" w:sz="8" w:space="0"/>
              <w:left w:val="single" w:color="auto" w:sz="8" w:space="0"/>
              <w:bottom w:val="single" w:color="auto" w:sz="8" w:space="0"/>
              <w:right w:val="single" w:color="auto" w:sz="8"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2"/>
                <w:szCs w:val="22"/>
              </w:rPr>
              <w:t>10KV变压器</w:t>
            </w:r>
          </w:p>
        </w:tc>
        <w:tc>
          <w:tcPr>
            <w:tcW w:w="164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变比、直阻、绝缘、交流耐压、铁芯绝缘</w:t>
            </w:r>
          </w:p>
        </w:tc>
        <w:tc>
          <w:tcPr>
            <w:tcW w:w="203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1250KVA</w:t>
            </w:r>
          </w:p>
        </w:tc>
        <w:tc>
          <w:tcPr>
            <w:tcW w:w="99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4</w:t>
            </w:r>
          </w:p>
        </w:tc>
        <w:tc>
          <w:tcPr>
            <w:tcW w:w="992"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p>
        </w:tc>
        <w:tc>
          <w:tcPr>
            <w:tcW w:w="1100" w:type="dxa"/>
            <w:tcBorders>
              <w:top w:val="single" w:color="auto" w:sz="8" w:space="0"/>
              <w:left w:val="single" w:color="auto" w:sz="8" w:space="0"/>
              <w:bottom w:val="single" w:color="auto" w:sz="8" w:space="0"/>
              <w:right w:val="single" w:color="auto" w:sz="8" w:space="0"/>
            </w:tcBorders>
          </w:tcPr>
          <w:p>
            <w:pPr>
              <w:widowControl/>
              <w:jc w:val="center"/>
              <w:rPr>
                <w:rFonts w:ascii="宋体" w:hAnsi="宋体" w:cs="宋体"/>
                <w:kern w:val="0"/>
                <w:sz w:val="22"/>
                <w:szCs w:val="22"/>
              </w:rPr>
            </w:pPr>
          </w:p>
        </w:tc>
        <w:tc>
          <w:tcPr>
            <w:tcW w:w="1417"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1058" w:hRule="atLeast"/>
        </w:trPr>
        <w:tc>
          <w:tcPr>
            <w:tcW w:w="70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18" w:type="dxa"/>
            <w:tcBorders>
              <w:top w:val="single" w:color="auto" w:sz="8" w:space="0"/>
              <w:left w:val="single" w:color="auto" w:sz="8" w:space="0"/>
              <w:bottom w:val="single" w:color="auto" w:sz="8" w:space="0"/>
              <w:right w:val="single" w:color="auto" w:sz="8" w:space="0"/>
            </w:tcBorders>
            <w:shd w:val="clear" w:color="000000" w:fill="FFFFFF"/>
            <w:noWrap/>
            <w:vAlign w:val="center"/>
          </w:tcPr>
          <w:p>
            <w:pPr>
              <w:widowControl/>
              <w:jc w:val="center"/>
              <w:rPr>
                <w:rFonts w:ascii="宋体" w:hAnsi="宋体" w:cs="宋体"/>
                <w:kern w:val="0"/>
                <w:sz w:val="22"/>
                <w:szCs w:val="22"/>
              </w:rPr>
            </w:pPr>
            <w:r>
              <w:rPr>
                <w:rFonts w:hint="eastAsia" w:ascii="宋体" w:hAnsi="宋体" w:cs="宋体"/>
                <w:kern w:val="0"/>
                <w:sz w:val="22"/>
                <w:szCs w:val="22"/>
              </w:rPr>
              <w:t>10KV变压器</w:t>
            </w:r>
          </w:p>
        </w:tc>
        <w:tc>
          <w:tcPr>
            <w:tcW w:w="164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变比、直阻、绝缘、交流耐压、铁芯绝缘</w:t>
            </w:r>
          </w:p>
        </w:tc>
        <w:tc>
          <w:tcPr>
            <w:tcW w:w="203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2500KVA</w:t>
            </w:r>
          </w:p>
        </w:tc>
        <w:tc>
          <w:tcPr>
            <w:tcW w:w="99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992"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p>
        </w:tc>
        <w:tc>
          <w:tcPr>
            <w:tcW w:w="1100" w:type="dxa"/>
            <w:tcBorders>
              <w:top w:val="single" w:color="auto" w:sz="8" w:space="0"/>
              <w:left w:val="single" w:color="auto" w:sz="8" w:space="0"/>
              <w:bottom w:val="single" w:color="auto" w:sz="8" w:space="0"/>
              <w:right w:val="single" w:color="auto" w:sz="8" w:space="0"/>
            </w:tcBorders>
          </w:tcPr>
          <w:p>
            <w:pPr>
              <w:widowControl/>
              <w:jc w:val="center"/>
              <w:rPr>
                <w:rFonts w:ascii="宋体" w:hAnsi="宋体" w:cs="宋体"/>
                <w:kern w:val="0"/>
                <w:sz w:val="22"/>
                <w:szCs w:val="22"/>
              </w:rPr>
            </w:pPr>
          </w:p>
        </w:tc>
        <w:tc>
          <w:tcPr>
            <w:tcW w:w="1417"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1058" w:hRule="atLeast"/>
        </w:trPr>
        <w:tc>
          <w:tcPr>
            <w:tcW w:w="70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18" w:type="dxa"/>
            <w:tcBorders>
              <w:top w:val="single" w:color="auto" w:sz="8" w:space="0"/>
              <w:left w:val="single" w:color="auto" w:sz="8" w:space="0"/>
              <w:bottom w:val="single" w:color="auto" w:sz="8" w:space="0"/>
              <w:right w:val="single" w:color="auto" w:sz="8"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10KV电缆</w:t>
            </w:r>
          </w:p>
        </w:tc>
        <w:tc>
          <w:tcPr>
            <w:tcW w:w="164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直阻、交流耐压、绝缘</w:t>
            </w:r>
          </w:p>
        </w:tc>
        <w:tc>
          <w:tcPr>
            <w:tcW w:w="203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10KV电缆</w:t>
            </w:r>
          </w:p>
          <w:p>
            <w:pPr>
              <w:widowControl/>
              <w:jc w:val="center"/>
              <w:rPr>
                <w:rFonts w:ascii="宋体" w:hAnsi="宋体" w:cs="宋体"/>
                <w:kern w:val="0"/>
                <w:sz w:val="24"/>
              </w:rPr>
            </w:pPr>
            <w:r>
              <w:rPr>
                <w:rFonts w:hint="eastAsia" w:ascii="宋体" w:hAnsi="宋体" w:cs="宋体"/>
                <w:kern w:val="0"/>
                <w:sz w:val="24"/>
              </w:rPr>
              <w:t>YJV22-10-3*400/120/95/50</w:t>
            </w:r>
          </w:p>
          <w:p>
            <w:pPr>
              <w:widowControl/>
              <w:jc w:val="center"/>
              <w:rPr>
                <w:rFonts w:ascii="宋体" w:hAnsi="宋体" w:cs="宋体"/>
                <w:kern w:val="0"/>
                <w:sz w:val="24"/>
              </w:rPr>
            </w:pPr>
            <w:r>
              <w:rPr>
                <w:rFonts w:hint="eastAsia" w:ascii="宋体" w:hAnsi="宋体" w:cs="宋体"/>
                <w:kern w:val="0"/>
                <w:sz w:val="24"/>
              </w:rPr>
              <w:t>YJV-10-3*95</w:t>
            </w:r>
          </w:p>
        </w:tc>
        <w:tc>
          <w:tcPr>
            <w:tcW w:w="99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42</w:t>
            </w:r>
          </w:p>
        </w:tc>
        <w:tc>
          <w:tcPr>
            <w:tcW w:w="992"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p>
        </w:tc>
        <w:tc>
          <w:tcPr>
            <w:tcW w:w="1100" w:type="dxa"/>
            <w:tcBorders>
              <w:top w:val="single" w:color="auto" w:sz="8" w:space="0"/>
              <w:left w:val="single" w:color="auto" w:sz="8" w:space="0"/>
              <w:bottom w:val="single" w:color="auto" w:sz="8" w:space="0"/>
              <w:right w:val="single" w:color="auto" w:sz="8" w:space="0"/>
            </w:tcBorders>
          </w:tcPr>
          <w:p>
            <w:pPr>
              <w:widowControl/>
              <w:jc w:val="center"/>
              <w:rPr>
                <w:rFonts w:ascii="宋体" w:hAnsi="宋体" w:cs="宋体"/>
                <w:kern w:val="0"/>
                <w:sz w:val="22"/>
                <w:szCs w:val="22"/>
              </w:rPr>
            </w:pPr>
          </w:p>
        </w:tc>
        <w:tc>
          <w:tcPr>
            <w:tcW w:w="1417"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两进两出</w:t>
            </w:r>
          </w:p>
        </w:tc>
      </w:tr>
      <w:tr>
        <w:tblPrEx>
          <w:tblLayout w:type="fixed"/>
          <w:tblCellMar>
            <w:top w:w="0" w:type="dxa"/>
            <w:left w:w="108" w:type="dxa"/>
            <w:bottom w:w="0" w:type="dxa"/>
            <w:right w:w="108" w:type="dxa"/>
          </w:tblCellMar>
        </w:tblPrEx>
        <w:trPr>
          <w:trHeight w:val="1901" w:hRule="atLeast"/>
        </w:trPr>
        <w:tc>
          <w:tcPr>
            <w:tcW w:w="70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18"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高压成套柜</w:t>
            </w:r>
          </w:p>
        </w:tc>
        <w:tc>
          <w:tcPr>
            <w:tcW w:w="1648" w:type="dxa"/>
            <w:tcBorders>
              <w:top w:val="single" w:color="auto" w:sz="8" w:space="0"/>
              <w:left w:val="single" w:color="auto" w:sz="8" w:space="0"/>
              <w:bottom w:val="single" w:color="auto" w:sz="8" w:space="0"/>
              <w:right w:val="single" w:color="auto" w:sz="8" w:space="0"/>
            </w:tcBorders>
            <w:shd w:val="clear" w:color="000000" w:fill="FFFFFF"/>
            <w:vAlign w:val="center"/>
          </w:tcPr>
          <w:p>
            <w:pPr>
              <w:widowControl/>
              <w:jc w:val="left"/>
              <w:rPr>
                <w:rFonts w:ascii="宋体" w:hAnsi="宋体" w:cs="宋体"/>
                <w:kern w:val="0"/>
                <w:sz w:val="24"/>
              </w:rPr>
            </w:pPr>
            <w:r>
              <w:rPr>
                <w:rFonts w:hint="eastAsia" w:ascii="宋体" w:hAnsi="宋体" w:cs="宋体"/>
                <w:kern w:val="0"/>
                <w:sz w:val="24"/>
              </w:rPr>
              <w:t>绝缘、工频放电、回阻、交流耐压、变比、直阻、保护校验</w:t>
            </w:r>
          </w:p>
        </w:tc>
        <w:tc>
          <w:tcPr>
            <w:tcW w:w="2037" w:type="dxa"/>
            <w:tcBorders>
              <w:top w:val="single" w:color="auto" w:sz="8" w:space="0"/>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10KV开关柜</w:t>
            </w:r>
          </w:p>
        </w:tc>
        <w:tc>
          <w:tcPr>
            <w:tcW w:w="993" w:type="dxa"/>
            <w:tcBorders>
              <w:top w:val="single" w:color="auto" w:sz="8" w:space="0"/>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95</w:t>
            </w:r>
          </w:p>
        </w:tc>
        <w:tc>
          <w:tcPr>
            <w:tcW w:w="992" w:type="dxa"/>
            <w:tcBorders>
              <w:top w:val="single" w:color="auto" w:sz="8" w:space="0"/>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kern w:val="0"/>
                <w:sz w:val="24"/>
              </w:rPr>
            </w:pPr>
          </w:p>
        </w:tc>
        <w:tc>
          <w:tcPr>
            <w:tcW w:w="1100" w:type="dxa"/>
            <w:tcBorders>
              <w:top w:val="single" w:color="auto" w:sz="8" w:space="0"/>
              <w:left w:val="single" w:color="auto" w:sz="8" w:space="0"/>
              <w:bottom w:val="single" w:color="auto" w:sz="8" w:space="0"/>
              <w:right w:val="single" w:color="auto" w:sz="8" w:space="0"/>
            </w:tcBorders>
          </w:tcPr>
          <w:p>
            <w:pPr>
              <w:widowControl/>
              <w:jc w:val="left"/>
              <w:rPr>
                <w:rFonts w:ascii="宋体" w:hAnsi="宋体" w:cs="宋体"/>
                <w:kern w:val="0"/>
                <w:sz w:val="22"/>
                <w:szCs w:val="22"/>
              </w:rPr>
            </w:pPr>
          </w:p>
        </w:tc>
        <w:tc>
          <w:tcPr>
            <w:tcW w:w="141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含CT、PT、避雷器、熔丝、微机综保、断路器.开关柜按照双电源计算。</w:t>
            </w:r>
          </w:p>
        </w:tc>
      </w:tr>
      <w:tr>
        <w:tblPrEx>
          <w:tblLayout w:type="fixed"/>
          <w:tblCellMar>
            <w:top w:w="0" w:type="dxa"/>
            <w:left w:w="108" w:type="dxa"/>
            <w:bottom w:w="0" w:type="dxa"/>
            <w:right w:w="108" w:type="dxa"/>
          </w:tblCellMar>
        </w:tblPrEx>
        <w:trPr>
          <w:trHeight w:val="522" w:hRule="atLeast"/>
        </w:trPr>
        <w:tc>
          <w:tcPr>
            <w:tcW w:w="70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18"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高压母线</w:t>
            </w:r>
          </w:p>
        </w:tc>
        <w:tc>
          <w:tcPr>
            <w:tcW w:w="1648"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绝缘、耐压</w:t>
            </w:r>
          </w:p>
        </w:tc>
        <w:tc>
          <w:tcPr>
            <w:tcW w:w="2037"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993"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14</w:t>
            </w:r>
          </w:p>
        </w:tc>
        <w:tc>
          <w:tcPr>
            <w:tcW w:w="992"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p>
        </w:tc>
        <w:tc>
          <w:tcPr>
            <w:tcW w:w="1100" w:type="dxa"/>
            <w:tcBorders>
              <w:top w:val="single" w:color="auto" w:sz="8" w:space="0"/>
              <w:left w:val="single" w:color="auto" w:sz="8" w:space="0"/>
              <w:bottom w:val="single" w:color="auto" w:sz="8" w:space="0"/>
              <w:right w:val="single" w:color="auto" w:sz="8" w:space="0"/>
            </w:tcBorders>
          </w:tcPr>
          <w:p>
            <w:pPr>
              <w:widowControl/>
              <w:jc w:val="center"/>
              <w:rPr>
                <w:rFonts w:ascii="宋体" w:hAnsi="宋体" w:cs="宋体"/>
                <w:kern w:val="0"/>
                <w:sz w:val="22"/>
                <w:szCs w:val="22"/>
              </w:rPr>
            </w:pPr>
          </w:p>
        </w:tc>
        <w:tc>
          <w:tcPr>
            <w:tcW w:w="1417"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522" w:hRule="atLeast"/>
        </w:trPr>
        <w:tc>
          <w:tcPr>
            <w:tcW w:w="70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18"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低压母线</w:t>
            </w:r>
          </w:p>
        </w:tc>
        <w:tc>
          <w:tcPr>
            <w:tcW w:w="1648"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绝缘、耐压</w:t>
            </w:r>
          </w:p>
        </w:tc>
        <w:tc>
          <w:tcPr>
            <w:tcW w:w="2037"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993"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14</w:t>
            </w:r>
          </w:p>
        </w:tc>
        <w:tc>
          <w:tcPr>
            <w:tcW w:w="992"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p>
        </w:tc>
        <w:tc>
          <w:tcPr>
            <w:tcW w:w="1100" w:type="dxa"/>
            <w:tcBorders>
              <w:top w:val="single" w:color="auto" w:sz="8" w:space="0"/>
              <w:left w:val="single" w:color="auto" w:sz="8" w:space="0"/>
              <w:bottom w:val="single" w:color="auto" w:sz="8" w:space="0"/>
              <w:right w:val="single" w:color="auto" w:sz="8" w:space="0"/>
            </w:tcBorders>
          </w:tcPr>
          <w:p>
            <w:pPr>
              <w:widowControl/>
              <w:jc w:val="center"/>
              <w:rPr>
                <w:rFonts w:ascii="宋体" w:hAnsi="宋体" w:cs="宋体"/>
                <w:kern w:val="0"/>
                <w:sz w:val="22"/>
                <w:szCs w:val="22"/>
              </w:rPr>
            </w:pPr>
          </w:p>
        </w:tc>
        <w:tc>
          <w:tcPr>
            <w:tcW w:w="1417"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522" w:hRule="atLeast"/>
        </w:trPr>
        <w:tc>
          <w:tcPr>
            <w:tcW w:w="70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18"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接地电阻</w:t>
            </w:r>
          </w:p>
        </w:tc>
        <w:tc>
          <w:tcPr>
            <w:tcW w:w="1648"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对低电阻</w:t>
            </w:r>
          </w:p>
        </w:tc>
        <w:tc>
          <w:tcPr>
            <w:tcW w:w="2037"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993"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18</w:t>
            </w:r>
          </w:p>
        </w:tc>
        <w:tc>
          <w:tcPr>
            <w:tcW w:w="992"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p>
        </w:tc>
        <w:tc>
          <w:tcPr>
            <w:tcW w:w="1100" w:type="dxa"/>
            <w:tcBorders>
              <w:top w:val="single" w:color="auto" w:sz="8" w:space="0"/>
              <w:left w:val="single" w:color="auto" w:sz="8" w:space="0"/>
              <w:bottom w:val="single" w:color="auto" w:sz="8" w:space="0"/>
              <w:right w:val="single" w:color="auto" w:sz="8" w:space="0"/>
            </w:tcBorders>
          </w:tcPr>
          <w:p>
            <w:pPr>
              <w:widowControl/>
              <w:jc w:val="center"/>
              <w:rPr>
                <w:rFonts w:ascii="宋体" w:hAnsi="宋体" w:cs="宋体"/>
                <w:kern w:val="0"/>
                <w:sz w:val="22"/>
                <w:szCs w:val="22"/>
              </w:rPr>
            </w:pPr>
          </w:p>
        </w:tc>
        <w:tc>
          <w:tcPr>
            <w:tcW w:w="1417"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522" w:hRule="atLeast"/>
        </w:trPr>
        <w:tc>
          <w:tcPr>
            <w:tcW w:w="70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18"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安全工器具</w:t>
            </w:r>
          </w:p>
        </w:tc>
        <w:tc>
          <w:tcPr>
            <w:tcW w:w="1648"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绝缘、耐压</w:t>
            </w:r>
          </w:p>
        </w:tc>
        <w:tc>
          <w:tcPr>
            <w:tcW w:w="2037"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993"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现场</w:t>
            </w:r>
          </w:p>
          <w:p>
            <w:pPr>
              <w:widowControl/>
              <w:jc w:val="center"/>
              <w:rPr>
                <w:rFonts w:ascii="宋体" w:hAnsi="宋体" w:cs="宋体"/>
                <w:kern w:val="0"/>
                <w:sz w:val="22"/>
                <w:szCs w:val="22"/>
              </w:rPr>
            </w:pPr>
            <w:r>
              <w:rPr>
                <w:rFonts w:hint="eastAsia" w:ascii="宋体" w:hAnsi="宋体" w:cs="宋体"/>
                <w:kern w:val="0"/>
                <w:sz w:val="22"/>
                <w:szCs w:val="22"/>
              </w:rPr>
              <w:t>确认</w:t>
            </w:r>
          </w:p>
        </w:tc>
        <w:tc>
          <w:tcPr>
            <w:tcW w:w="992"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p>
        </w:tc>
        <w:tc>
          <w:tcPr>
            <w:tcW w:w="1100" w:type="dxa"/>
            <w:tcBorders>
              <w:top w:val="single" w:color="auto" w:sz="8" w:space="0"/>
              <w:left w:val="single" w:color="auto" w:sz="8" w:space="0"/>
              <w:bottom w:val="single" w:color="auto" w:sz="8" w:space="0"/>
              <w:right w:val="single" w:color="auto" w:sz="8" w:space="0"/>
            </w:tcBorders>
          </w:tcPr>
          <w:p>
            <w:pPr>
              <w:widowControl/>
              <w:jc w:val="center"/>
              <w:rPr>
                <w:rFonts w:ascii="宋体" w:hAnsi="宋体" w:cs="宋体"/>
                <w:kern w:val="0"/>
                <w:sz w:val="22"/>
                <w:szCs w:val="22"/>
              </w:rPr>
            </w:pPr>
          </w:p>
        </w:tc>
        <w:tc>
          <w:tcPr>
            <w:tcW w:w="1417"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免费赠送</w:t>
            </w:r>
          </w:p>
        </w:tc>
      </w:tr>
      <w:tr>
        <w:tblPrEx>
          <w:tblLayout w:type="fixed"/>
          <w:tblCellMar>
            <w:top w:w="0" w:type="dxa"/>
            <w:left w:w="108" w:type="dxa"/>
            <w:bottom w:w="0" w:type="dxa"/>
            <w:right w:w="108" w:type="dxa"/>
          </w:tblCellMar>
        </w:tblPrEx>
        <w:trPr>
          <w:trHeight w:val="570" w:hRule="atLeast"/>
        </w:trPr>
        <w:tc>
          <w:tcPr>
            <w:tcW w:w="70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10</w:t>
            </w:r>
          </w:p>
        </w:tc>
        <w:tc>
          <w:tcPr>
            <w:tcW w:w="5103" w:type="dxa"/>
            <w:gridSpan w:val="3"/>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小计</w:t>
            </w:r>
          </w:p>
        </w:tc>
        <w:tc>
          <w:tcPr>
            <w:tcW w:w="993"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992"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p>
        </w:tc>
        <w:tc>
          <w:tcPr>
            <w:tcW w:w="1100" w:type="dxa"/>
            <w:tcBorders>
              <w:top w:val="single" w:color="auto" w:sz="8" w:space="0"/>
              <w:left w:val="single" w:color="auto" w:sz="8" w:space="0"/>
              <w:bottom w:val="single" w:color="auto" w:sz="8" w:space="0"/>
              <w:right w:val="single" w:color="auto" w:sz="8" w:space="0"/>
            </w:tcBorders>
          </w:tcPr>
          <w:p>
            <w:pPr>
              <w:widowControl/>
              <w:jc w:val="center"/>
              <w:rPr>
                <w:rFonts w:ascii="宋体" w:hAnsi="宋体" w:cs="宋体"/>
                <w:kern w:val="0"/>
                <w:sz w:val="22"/>
                <w:szCs w:val="22"/>
              </w:rPr>
            </w:pPr>
          </w:p>
        </w:tc>
        <w:tc>
          <w:tcPr>
            <w:tcW w:w="1417"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641" w:hRule="atLeast"/>
        </w:trPr>
        <w:tc>
          <w:tcPr>
            <w:tcW w:w="70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11</w:t>
            </w:r>
          </w:p>
        </w:tc>
        <w:tc>
          <w:tcPr>
            <w:tcW w:w="5103" w:type="dxa"/>
            <w:gridSpan w:val="3"/>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税费（税点标准6 %)</w:t>
            </w:r>
          </w:p>
        </w:tc>
        <w:tc>
          <w:tcPr>
            <w:tcW w:w="993"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992"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100" w:type="dxa"/>
            <w:tcBorders>
              <w:top w:val="single" w:color="auto" w:sz="8" w:space="0"/>
              <w:left w:val="single" w:color="auto" w:sz="8" w:space="0"/>
              <w:bottom w:val="single" w:color="auto" w:sz="8" w:space="0"/>
              <w:right w:val="single" w:color="auto" w:sz="8" w:space="0"/>
            </w:tcBorders>
          </w:tcPr>
          <w:p>
            <w:pPr>
              <w:widowControl/>
              <w:jc w:val="left"/>
              <w:rPr>
                <w:rFonts w:ascii="宋体" w:hAnsi="宋体" w:cs="宋体"/>
                <w:kern w:val="0"/>
                <w:sz w:val="22"/>
                <w:szCs w:val="22"/>
              </w:rPr>
            </w:pPr>
          </w:p>
        </w:tc>
        <w:tc>
          <w:tcPr>
            <w:tcW w:w="141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 w:val="22"/>
                <w:szCs w:val="22"/>
              </w:rPr>
            </w:pPr>
          </w:p>
        </w:tc>
      </w:tr>
      <w:tr>
        <w:tblPrEx>
          <w:tblLayout w:type="fixed"/>
          <w:tblCellMar>
            <w:top w:w="0" w:type="dxa"/>
            <w:left w:w="108" w:type="dxa"/>
            <w:bottom w:w="0" w:type="dxa"/>
            <w:right w:w="108" w:type="dxa"/>
          </w:tblCellMar>
        </w:tblPrEx>
        <w:trPr>
          <w:trHeight w:val="600" w:hRule="atLeast"/>
        </w:trPr>
        <w:tc>
          <w:tcPr>
            <w:tcW w:w="70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12</w:t>
            </w:r>
          </w:p>
        </w:tc>
        <w:tc>
          <w:tcPr>
            <w:tcW w:w="5103" w:type="dxa"/>
            <w:gridSpan w:val="3"/>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合计=（小计+税费）</w:t>
            </w:r>
          </w:p>
        </w:tc>
        <w:tc>
          <w:tcPr>
            <w:tcW w:w="993"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992"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100" w:type="dxa"/>
            <w:tcBorders>
              <w:top w:val="single" w:color="auto" w:sz="8" w:space="0"/>
              <w:left w:val="single" w:color="auto" w:sz="8" w:space="0"/>
              <w:bottom w:val="single" w:color="auto" w:sz="8" w:space="0"/>
              <w:right w:val="single" w:color="auto" w:sz="8" w:space="0"/>
            </w:tcBorders>
          </w:tcPr>
          <w:p>
            <w:pPr>
              <w:widowControl/>
              <w:jc w:val="center"/>
              <w:rPr>
                <w:rFonts w:ascii="宋体" w:hAnsi="宋体" w:cs="宋体"/>
                <w:kern w:val="0"/>
                <w:sz w:val="22"/>
                <w:szCs w:val="22"/>
              </w:rPr>
            </w:pPr>
          </w:p>
        </w:tc>
        <w:tc>
          <w:tcPr>
            <w:tcW w:w="1417"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bl>
    <w:p>
      <w:pPr>
        <w:spacing w:line="500" w:lineRule="atLeast"/>
        <w:jc w:val="center"/>
        <w:rPr>
          <w:rFonts w:ascii="宋体" w:hAnsi="宋体" w:cs="宋体"/>
          <w:b/>
          <w:color w:val="000000"/>
          <w:sz w:val="32"/>
        </w:rPr>
      </w:pPr>
    </w:p>
    <w:p>
      <w:pPr>
        <w:widowControl/>
        <w:spacing w:line="520" w:lineRule="exact"/>
        <w:jc w:val="center"/>
        <w:rPr>
          <w:rFonts w:ascii="宋体" w:hAnsi="宋体" w:cs="宋体"/>
          <w:b/>
          <w:color w:val="000000"/>
          <w:kern w:val="0"/>
          <w:sz w:val="24"/>
        </w:rPr>
      </w:pPr>
    </w:p>
    <w:p>
      <w:pPr>
        <w:widowControl/>
        <w:spacing w:line="520" w:lineRule="exact"/>
        <w:jc w:val="left"/>
        <w:rPr>
          <w:rFonts w:ascii="宋体" w:hAnsi="宋体" w:cs="宋体"/>
          <w:b/>
          <w:color w:val="000000"/>
          <w:kern w:val="0"/>
          <w:sz w:val="24"/>
        </w:rPr>
      </w:pPr>
    </w:p>
    <w:p>
      <w:pPr>
        <w:widowControl/>
        <w:numPr>
          <w:ilvl w:val="0"/>
          <w:numId w:val="3"/>
        </w:numPr>
        <w:spacing w:line="480" w:lineRule="exact"/>
        <w:jc w:val="center"/>
        <w:rPr>
          <w:rFonts w:ascii="宋体" w:hAnsi="宋体" w:cs="宋体"/>
          <w:b/>
          <w:color w:val="000000"/>
          <w:kern w:val="0"/>
          <w:sz w:val="24"/>
        </w:rPr>
      </w:pPr>
      <w:r>
        <w:rPr>
          <w:rFonts w:hint="eastAsia" w:ascii="宋体" w:hAnsi="宋体" w:cs="宋体"/>
          <w:b/>
          <w:color w:val="000000"/>
          <w:kern w:val="0"/>
          <w:sz w:val="24"/>
        </w:rPr>
        <w:t>投标资格证明文件</w:t>
      </w:r>
    </w:p>
    <w:p>
      <w:pPr>
        <w:widowControl/>
        <w:spacing w:line="480" w:lineRule="exact"/>
        <w:rPr>
          <w:rFonts w:ascii="宋体" w:hAnsi="宋体" w:cs="宋体"/>
          <w:b/>
          <w:color w:val="000000"/>
          <w:kern w:val="0"/>
          <w:sz w:val="24"/>
        </w:rPr>
      </w:pPr>
    </w:p>
    <w:p>
      <w:pPr>
        <w:widowControl/>
        <w:spacing w:line="400" w:lineRule="exact"/>
        <w:ind w:firstLine="472" w:firstLineChars="196"/>
        <w:jc w:val="left"/>
        <w:rPr>
          <w:rFonts w:ascii="宋体" w:hAnsi="宋体" w:cs="宋体"/>
          <w:b/>
          <w:kern w:val="0"/>
          <w:sz w:val="24"/>
        </w:rPr>
      </w:pPr>
      <w:r>
        <w:rPr>
          <w:rFonts w:hint="eastAsia" w:ascii="宋体" w:hAnsi="宋体" w:cs="宋体"/>
          <w:b/>
          <w:kern w:val="0"/>
          <w:sz w:val="24"/>
        </w:rPr>
        <w:t>投标人除提供“投标人要求”中所列文件外，须相应提供以下资料：</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1、</w:t>
      </w:r>
      <w:r>
        <w:rPr>
          <w:rFonts w:hint="eastAsia" w:ascii="宋体" w:hAnsi="宋体" w:cs="宋体"/>
          <w:bCs/>
          <w:kern w:val="0"/>
          <w:sz w:val="24"/>
        </w:rPr>
        <w:t>投标人简介、通讯方式</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2、与标的物有关的情况</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3、开户银行名称及地址</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4、投标人认为需要说明的其它情况</w:t>
      </w:r>
    </w:p>
    <w:p>
      <w:pPr>
        <w:spacing w:line="480" w:lineRule="exact"/>
        <w:rPr>
          <w:rFonts w:ascii="宋体" w:hAnsi="宋体" w:cs="宋体"/>
          <w:color w:val="000000"/>
          <w:kern w:val="0"/>
          <w:sz w:val="24"/>
        </w:rPr>
      </w:pPr>
    </w:p>
    <w:p>
      <w:pPr>
        <w:widowControl/>
        <w:spacing w:line="520" w:lineRule="exact"/>
        <w:jc w:val="center"/>
        <w:rPr>
          <w:rFonts w:ascii="宋体" w:hAnsi="宋体"/>
          <w:b/>
          <w:color w:val="000000"/>
          <w:sz w:val="24"/>
        </w:rPr>
      </w:pPr>
      <w:r>
        <w:rPr>
          <w:rFonts w:hint="eastAsia" w:ascii="宋体" w:hAnsi="宋体" w:cs="宋体"/>
          <w:b/>
          <w:color w:val="000000"/>
          <w:kern w:val="0"/>
          <w:sz w:val="24"/>
          <w:lang w:val="zh-CN"/>
        </w:rPr>
        <w:t>三、</w:t>
      </w:r>
      <w:r>
        <w:rPr>
          <w:rFonts w:hint="eastAsia" w:ascii="宋体" w:hAnsi="宋体"/>
          <w:b/>
          <w:color w:val="000000"/>
          <w:sz w:val="24"/>
        </w:rPr>
        <w:t>百大集团高压供电设备电气预防性试验方案</w:t>
      </w:r>
    </w:p>
    <w:p>
      <w:pPr>
        <w:widowControl/>
        <w:spacing w:line="520" w:lineRule="exact"/>
        <w:jc w:val="center"/>
        <w:rPr>
          <w:rFonts w:ascii="宋体" w:hAnsi="宋体"/>
          <w:b/>
          <w:color w:val="000000"/>
          <w:sz w:val="24"/>
        </w:rPr>
      </w:pPr>
      <w:r>
        <w:rPr>
          <w:rFonts w:hint="eastAsia" w:ascii="宋体" w:hAnsi="宋体"/>
          <w:b/>
          <w:color w:val="000000"/>
          <w:sz w:val="24"/>
        </w:rPr>
        <w:t>（格式自定）</w:t>
      </w:r>
    </w:p>
    <w:p>
      <w:pPr>
        <w:widowControl/>
        <w:spacing w:line="520" w:lineRule="exact"/>
        <w:rPr>
          <w:rFonts w:ascii="宋体" w:hAnsi="宋体"/>
          <w:b/>
          <w:color w:val="000000"/>
          <w:sz w:val="24"/>
        </w:rPr>
      </w:pPr>
    </w:p>
    <w:p>
      <w:pPr>
        <w:widowControl/>
        <w:spacing w:line="520" w:lineRule="exact"/>
        <w:jc w:val="center"/>
        <w:rPr>
          <w:sz w:val="28"/>
          <w:szCs w:val="28"/>
        </w:rPr>
      </w:pPr>
      <w:r>
        <w:rPr>
          <w:rFonts w:hint="eastAsia" w:ascii="宋体" w:hAnsi="宋体" w:cs="宋体"/>
          <w:b/>
          <w:kern w:val="0"/>
          <w:sz w:val="24"/>
          <w:lang w:val="zh-CN"/>
        </w:rPr>
        <w:t>四、投标保证金退还申请书</w:t>
      </w:r>
    </w:p>
    <w:p>
      <w:pPr>
        <w:spacing w:beforeLines="150"/>
        <w:rPr>
          <w:rFonts w:ascii="宋体" w:hAnsi="宋体" w:cs="宋体"/>
          <w:sz w:val="24"/>
        </w:rPr>
      </w:pPr>
      <w:r>
        <w:rPr>
          <w:rFonts w:hint="eastAsia" w:ascii="宋体" w:hAnsi="宋体" w:cs="宋体"/>
          <w:sz w:val="24"/>
        </w:rPr>
        <w:t>合肥百货大楼集团股份有限公司：</w:t>
      </w:r>
    </w:p>
    <w:p>
      <w:pPr>
        <w:ind w:firstLine="480" w:firstLineChars="200"/>
        <w:rPr>
          <w:rFonts w:ascii="宋体" w:hAnsi="宋体" w:cs="宋体"/>
          <w:sz w:val="24"/>
        </w:rPr>
      </w:pPr>
      <w:r>
        <w:rPr>
          <w:rFonts w:hint="eastAsia" w:ascii="宋体" w:hAnsi="宋体" w:cs="宋体"/>
          <w:sz w:val="24"/>
        </w:rPr>
        <w:t>我公司于</w:t>
      </w:r>
      <w:r>
        <w:rPr>
          <w:rFonts w:hint="eastAsia" w:ascii="宋体" w:hAnsi="宋体" w:cs="宋体"/>
          <w:sz w:val="24"/>
          <w:u w:val="single"/>
        </w:rPr>
        <w:t>201  年  月  日</w:t>
      </w:r>
      <w:r>
        <w:rPr>
          <w:rFonts w:hint="eastAsia" w:ascii="宋体" w:hAnsi="宋体" w:cs="宋体"/>
          <w:sz w:val="24"/>
        </w:rPr>
        <w:t>参加项目招投标，交纳保证金</w:t>
      </w:r>
    </w:p>
    <w:p>
      <w:pPr>
        <w:rPr>
          <w:rFonts w:ascii="宋体" w:hAnsi="宋体" w:cs="宋体"/>
          <w:sz w:val="24"/>
        </w:rPr>
      </w:pPr>
      <w:r>
        <w:rPr>
          <w:rFonts w:hint="eastAsia" w:ascii="宋体" w:hAnsi="宋体" w:cs="宋体"/>
          <w:sz w:val="24"/>
        </w:rPr>
        <w:t>元。如我公司未中标，请将该项目投标保证金退至以下帐号；如我公司中标，投标保证金退还事宜按投标邀请约定执行。</w:t>
      </w:r>
    </w:p>
    <w:p>
      <w:pPr>
        <w:ind w:firstLine="460" w:firstLineChars="192"/>
        <w:rPr>
          <w:rFonts w:ascii="宋体" w:hAnsi="宋体" w:cs="宋体"/>
          <w:sz w:val="24"/>
        </w:rPr>
      </w:pPr>
      <w:r>
        <w:rPr>
          <w:rFonts w:hint="eastAsia" w:ascii="宋体" w:hAnsi="宋体" w:cs="宋体"/>
          <w:sz w:val="24"/>
        </w:rPr>
        <w:t>请予办理。</w:t>
      </w:r>
    </w:p>
    <w:p>
      <w:pPr>
        <w:ind w:firstLine="460" w:firstLineChars="192"/>
        <w:rPr>
          <w:rFonts w:ascii="宋体" w:hAnsi="宋体" w:cs="宋体"/>
          <w:sz w:val="24"/>
        </w:rPr>
      </w:pPr>
    </w:p>
    <w:p>
      <w:pPr>
        <w:ind w:firstLine="460" w:firstLineChars="192"/>
        <w:rPr>
          <w:rFonts w:ascii="宋体" w:hAnsi="宋体" w:cs="宋体"/>
          <w:sz w:val="24"/>
        </w:rPr>
      </w:pPr>
      <w:r>
        <w:rPr>
          <w:rFonts w:hint="eastAsia" w:ascii="宋体" w:hAnsi="宋体" w:cs="宋体"/>
          <w:sz w:val="24"/>
        </w:rPr>
        <w:t>户    名：</w:t>
      </w:r>
    </w:p>
    <w:p>
      <w:pPr>
        <w:ind w:firstLine="460" w:firstLineChars="192"/>
        <w:rPr>
          <w:rFonts w:ascii="宋体" w:hAnsi="宋体" w:cs="宋体"/>
          <w:sz w:val="24"/>
        </w:rPr>
      </w:pPr>
      <w:r>
        <w:rPr>
          <w:rFonts w:hint="eastAsia" w:ascii="宋体" w:hAnsi="宋体" w:cs="宋体"/>
          <w:sz w:val="24"/>
        </w:rPr>
        <w:t>开户银行：</w:t>
      </w:r>
    </w:p>
    <w:p>
      <w:pPr>
        <w:ind w:firstLine="460" w:firstLineChars="192"/>
        <w:rPr>
          <w:rFonts w:ascii="宋体" w:hAnsi="宋体" w:cs="宋体"/>
          <w:sz w:val="24"/>
        </w:rPr>
      </w:pPr>
      <w:r>
        <w:rPr>
          <w:rFonts w:hint="eastAsia" w:ascii="宋体" w:hAnsi="宋体" w:cs="宋体"/>
          <w:sz w:val="24"/>
        </w:rPr>
        <w:t>帐    号：</w:t>
      </w:r>
    </w:p>
    <w:p>
      <w:pPr>
        <w:ind w:firstLine="460" w:firstLineChars="192"/>
        <w:rPr>
          <w:rFonts w:ascii="宋体" w:hAnsi="宋体" w:cs="宋体"/>
          <w:sz w:val="24"/>
        </w:rPr>
      </w:pPr>
      <w:r>
        <w:rPr>
          <w:rFonts w:hint="eastAsia" w:ascii="宋体" w:hAnsi="宋体" w:cs="宋体"/>
          <w:sz w:val="24"/>
        </w:rPr>
        <w:t>联系电话：</w:t>
      </w:r>
    </w:p>
    <w:tbl>
      <w:tblPr>
        <w:tblStyle w:val="9"/>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854" w:type="dxa"/>
          </w:tcPr>
          <w:p>
            <w:pPr>
              <w:rPr>
                <w:rFonts w:ascii="宋体" w:hAnsi="宋体" w:cs="宋体"/>
                <w:sz w:val="24"/>
              </w:rPr>
            </w:pPr>
          </w:p>
          <w:p>
            <w:pPr>
              <w:jc w:val="center"/>
              <w:rPr>
                <w:rFonts w:ascii="宋体" w:hAnsi="宋体" w:cs="宋体"/>
                <w:sz w:val="24"/>
              </w:rPr>
            </w:pPr>
          </w:p>
          <w:p>
            <w:pPr>
              <w:jc w:val="center"/>
              <w:rPr>
                <w:rFonts w:ascii="宋体" w:hAnsi="宋体" w:cs="宋体"/>
                <w:sz w:val="24"/>
              </w:rPr>
            </w:pPr>
            <w:r>
              <w:rPr>
                <w:rFonts w:hint="eastAsia" w:ascii="宋体" w:hAnsi="宋体" w:cs="宋体"/>
                <w:sz w:val="24"/>
              </w:rPr>
              <w:t>此处提供转账单复印件</w:t>
            </w:r>
          </w:p>
          <w:p>
            <w:pPr>
              <w:rPr>
                <w:rFonts w:ascii="宋体" w:hAnsi="宋体" w:cs="宋体"/>
                <w:sz w:val="24"/>
              </w:rPr>
            </w:pPr>
          </w:p>
          <w:p>
            <w:pPr>
              <w:rPr>
                <w:rFonts w:ascii="宋体" w:hAnsi="宋体" w:cs="宋体"/>
                <w:sz w:val="24"/>
              </w:rPr>
            </w:pPr>
          </w:p>
        </w:tc>
      </w:tr>
    </w:tbl>
    <w:p>
      <w:pPr>
        <w:rPr>
          <w:rFonts w:ascii="宋体" w:hAnsi="宋体" w:cs="宋体"/>
          <w:sz w:val="24"/>
        </w:rPr>
      </w:pPr>
      <w:r>
        <w:rPr>
          <w:rFonts w:hint="eastAsia" w:ascii="宋体" w:hAnsi="宋体" w:cs="宋体"/>
          <w:sz w:val="24"/>
        </w:rPr>
        <w:t>注：投标人需在开标前将申请书交给招标人，申请书不用密封在标书内。</w:t>
      </w:r>
    </w:p>
    <w:p>
      <w:pPr>
        <w:rPr>
          <w:rFonts w:ascii="宋体" w:hAnsi="宋体" w:cs="宋体"/>
          <w:sz w:val="24"/>
        </w:rPr>
      </w:pPr>
    </w:p>
    <w:p>
      <w:pPr>
        <w:rPr>
          <w:rFonts w:ascii="宋体" w:hAnsi="宋体" w:cs="宋体"/>
          <w:sz w:val="24"/>
        </w:rPr>
      </w:pPr>
    </w:p>
    <w:p>
      <w:pPr>
        <w:ind w:firstLine="3393" w:firstLineChars="1414"/>
        <w:rPr>
          <w:rFonts w:ascii="宋体" w:hAnsi="宋体" w:cs="宋体"/>
          <w:sz w:val="24"/>
        </w:rPr>
      </w:pPr>
      <w:r>
        <w:rPr>
          <w:rFonts w:hint="eastAsia" w:ascii="宋体" w:hAnsi="宋体" w:cs="宋体"/>
          <w:sz w:val="24"/>
        </w:rPr>
        <w:t xml:space="preserve">                 投标人：</w:t>
      </w:r>
    </w:p>
    <w:p>
      <w:pPr>
        <w:ind w:firstLine="3393" w:firstLineChars="1414"/>
        <w:rPr>
          <w:rFonts w:ascii="宋体" w:hAnsi="宋体" w:cs="宋体"/>
          <w:sz w:val="24"/>
        </w:rPr>
      </w:pPr>
      <w:r>
        <w:rPr>
          <w:rFonts w:hint="eastAsia" w:ascii="宋体" w:hAnsi="宋体" w:cs="宋体"/>
          <w:sz w:val="24"/>
        </w:rPr>
        <w:t xml:space="preserve">                 201  年   月    日 </w:t>
      </w:r>
    </w:p>
    <w:p>
      <w:pPr>
        <w:ind w:firstLine="3393" w:firstLineChars="1414"/>
        <w:rPr>
          <w:rFonts w:ascii="宋体" w:hAnsi="宋体" w:cs="宋体"/>
          <w:sz w:val="24"/>
        </w:rPr>
      </w:pPr>
    </w:p>
    <w:p>
      <w:pPr>
        <w:ind w:firstLine="3393" w:firstLineChars="1414"/>
        <w:rPr>
          <w:rFonts w:ascii="宋体" w:hAnsi="宋体" w:cs="宋体"/>
          <w:sz w:val="24"/>
        </w:rPr>
      </w:pPr>
    </w:p>
    <w:p>
      <w:pPr>
        <w:ind w:firstLine="3393" w:firstLineChars="1414"/>
        <w:rPr>
          <w:rFonts w:ascii="宋体" w:hAnsi="宋体" w:cs="宋体"/>
          <w:sz w:val="24"/>
        </w:rPr>
      </w:pPr>
    </w:p>
    <w:p>
      <w:pPr>
        <w:ind w:firstLine="3393" w:firstLineChars="1414"/>
        <w:rPr>
          <w:rFonts w:ascii="宋体" w:hAnsi="宋体" w:cs="宋体"/>
          <w:sz w:val="24"/>
        </w:rPr>
      </w:pPr>
    </w:p>
    <w:p>
      <w:pPr>
        <w:ind w:firstLine="3393" w:firstLineChars="1414"/>
        <w:rPr>
          <w:rFonts w:ascii="宋体" w:hAnsi="宋体" w:cs="宋体"/>
          <w:sz w:val="24"/>
        </w:rPr>
      </w:pPr>
    </w:p>
    <w:p>
      <w:pPr>
        <w:ind w:firstLine="3393" w:firstLineChars="1414"/>
        <w:rPr>
          <w:rFonts w:ascii="宋体" w:hAnsi="宋体" w:cs="宋体"/>
          <w:sz w:val="24"/>
        </w:rPr>
      </w:pPr>
    </w:p>
    <w:p>
      <w:pPr>
        <w:widowControl/>
        <w:numPr>
          <w:ilvl w:val="0"/>
          <w:numId w:val="4"/>
        </w:numPr>
        <w:spacing w:line="520" w:lineRule="exact"/>
        <w:jc w:val="center"/>
        <w:rPr>
          <w:rFonts w:ascii="宋体" w:hAnsi="宋体" w:cs="宋体"/>
          <w:b/>
          <w:kern w:val="0"/>
          <w:sz w:val="24"/>
        </w:rPr>
      </w:pPr>
      <w:r>
        <w:rPr>
          <w:rFonts w:hint="eastAsia" w:ascii="宋体" w:hAnsi="宋体" w:cs="宋体"/>
          <w:b/>
          <w:kern w:val="0"/>
          <w:sz w:val="24"/>
        </w:rPr>
        <w:t>合同模版</w:t>
      </w:r>
    </w:p>
    <w:p>
      <w:pPr>
        <w:widowControl/>
        <w:spacing w:line="520" w:lineRule="exact"/>
        <w:rPr>
          <w:rFonts w:ascii="宋体" w:hAnsi="宋体" w:cs="宋体"/>
          <w:b/>
          <w:kern w:val="0"/>
          <w:sz w:val="24"/>
        </w:rPr>
      </w:pPr>
    </w:p>
    <w:p>
      <w:pPr>
        <w:jc w:val="center"/>
        <w:rPr>
          <w:rFonts w:ascii="宋体" w:hAnsi="宋体"/>
          <w:b/>
          <w:sz w:val="48"/>
          <w:szCs w:val="48"/>
        </w:rPr>
      </w:pPr>
      <w:r>
        <w:drawing>
          <wp:inline distT="0" distB="0" distL="114300" distR="114300">
            <wp:extent cx="539750" cy="539750"/>
            <wp:effectExtent l="0" t="0" r="12700" b="12700"/>
            <wp:docPr id="1" name="图片 1" descr="合肥百大集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合肥百大集团"/>
                    <pic:cNvPicPr preferRelativeResize="0">
                      <a:picLocks noChangeAspect="1"/>
                    </pic:cNvPicPr>
                  </pic:nvPicPr>
                  <pic:blipFill>
                    <a:blip r:embed="rId8" cstate="print"/>
                    <a:stretch>
                      <a:fillRect/>
                    </a:stretch>
                  </pic:blipFill>
                  <pic:spPr>
                    <a:xfrm>
                      <a:off x="0" y="0"/>
                      <a:ext cx="539750" cy="539750"/>
                    </a:xfrm>
                    <a:prstGeom prst="rect">
                      <a:avLst/>
                    </a:prstGeom>
                    <a:noFill/>
                    <a:ln>
                      <a:noFill/>
                    </a:ln>
                  </pic:spPr>
                </pic:pic>
              </a:graphicData>
            </a:graphic>
          </wp:inline>
        </w:drawing>
      </w:r>
      <w:r>
        <w:rPr>
          <w:rFonts w:hint="eastAsia" w:ascii="宋体" w:hAnsi="宋体"/>
          <w:b/>
          <w:sz w:val="48"/>
          <w:szCs w:val="48"/>
        </w:rPr>
        <w:t>合肥百货大楼集团股份有限公司</w:t>
      </w:r>
    </w:p>
    <w:p>
      <w:pPr>
        <w:spacing w:line="520" w:lineRule="exact"/>
        <w:jc w:val="center"/>
        <w:rPr>
          <w:rFonts w:ascii="宋体" w:hAnsi="宋体" w:cs="宋体"/>
          <w:b/>
          <w:bCs/>
          <w:sz w:val="36"/>
          <w:szCs w:val="36"/>
        </w:rPr>
      </w:pPr>
    </w:p>
    <w:p>
      <w:pPr>
        <w:spacing w:line="900" w:lineRule="exact"/>
        <w:jc w:val="center"/>
        <w:rPr>
          <w:rFonts w:ascii="宋体" w:hAnsi="宋体"/>
          <w:b/>
          <w:sz w:val="80"/>
          <w:szCs w:val="80"/>
        </w:rPr>
      </w:pPr>
      <w:r>
        <w:rPr>
          <w:rFonts w:hint="eastAsia" w:ascii="宋体" w:hAnsi="宋体"/>
          <w:b/>
          <w:sz w:val="80"/>
          <w:szCs w:val="80"/>
        </w:rPr>
        <w:t>电</w:t>
      </w:r>
    </w:p>
    <w:p>
      <w:pPr>
        <w:spacing w:line="900" w:lineRule="exact"/>
        <w:jc w:val="center"/>
        <w:rPr>
          <w:rFonts w:ascii="宋体" w:hAnsi="宋体"/>
          <w:b/>
          <w:sz w:val="80"/>
          <w:szCs w:val="80"/>
        </w:rPr>
      </w:pPr>
      <w:r>
        <w:rPr>
          <w:rFonts w:hint="eastAsia" w:ascii="宋体" w:hAnsi="宋体"/>
          <w:b/>
          <w:sz w:val="80"/>
          <w:szCs w:val="80"/>
        </w:rPr>
        <w:t>气</w:t>
      </w:r>
    </w:p>
    <w:p>
      <w:pPr>
        <w:spacing w:line="900" w:lineRule="exact"/>
        <w:jc w:val="center"/>
        <w:rPr>
          <w:rFonts w:ascii="宋体" w:hAnsi="宋体"/>
          <w:b/>
          <w:sz w:val="80"/>
          <w:szCs w:val="80"/>
        </w:rPr>
      </w:pPr>
      <w:r>
        <w:rPr>
          <w:rFonts w:hint="eastAsia" w:ascii="宋体" w:hAnsi="宋体"/>
          <w:b/>
          <w:sz w:val="80"/>
          <w:szCs w:val="80"/>
        </w:rPr>
        <w:t>预</w:t>
      </w:r>
    </w:p>
    <w:p>
      <w:pPr>
        <w:spacing w:line="900" w:lineRule="exact"/>
        <w:jc w:val="center"/>
        <w:rPr>
          <w:rFonts w:ascii="宋体" w:hAnsi="宋体"/>
          <w:b/>
          <w:sz w:val="80"/>
          <w:szCs w:val="80"/>
        </w:rPr>
      </w:pPr>
      <w:r>
        <w:rPr>
          <w:rFonts w:hint="eastAsia" w:ascii="宋体" w:hAnsi="宋体"/>
          <w:b/>
          <w:sz w:val="80"/>
          <w:szCs w:val="80"/>
        </w:rPr>
        <w:t>防</w:t>
      </w:r>
    </w:p>
    <w:p>
      <w:pPr>
        <w:spacing w:line="900" w:lineRule="exact"/>
        <w:jc w:val="center"/>
        <w:rPr>
          <w:rFonts w:ascii="宋体" w:hAnsi="宋体"/>
          <w:b/>
          <w:sz w:val="80"/>
          <w:szCs w:val="80"/>
        </w:rPr>
      </w:pPr>
      <w:r>
        <w:rPr>
          <w:rFonts w:hint="eastAsia" w:ascii="宋体" w:hAnsi="宋体"/>
          <w:b/>
          <w:sz w:val="80"/>
          <w:szCs w:val="80"/>
        </w:rPr>
        <w:t>性</w:t>
      </w:r>
    </w:p>
    <w:p>
      <w:pPr>
        <w:spacing w:line="900" w:lineRule="exact"/>
        <w:jc w:val="center"/>
        <w:rPr>
          <w:rFonts w:ascii="宋体" w:hAnsi="宋体"/>
          <w:b/>
          <w:sz w:val="80"/>
          <w:szCs w:val="80"/>
        </w:rPr>
      </w:pPr>
      <w:r>
        <w:rPr>
          <w:rFonts w:hint="eastAsia" w:ascii="宋体" w:hAnsi="宋体"/>
          <w:b/>
          <w:sz w:val="80"/>
          <w:szCs w:val="80"/>
        </w:rPr>
        <w:t>试</w:t>
      </w:r>
    </w:p>
    <w:p>
      <w:pPr>
        <w:spacing w:line="900" w:lineRule="exact"/>
        <w:jc w:val="center"/>
        <w:rPr>
          <w:rFonts w:ascii="宋体" w:hAnsi="宋体"/>
          <w:b/>
          <w:sz w:val="80"/>
          <w:szCs w:val="80"/>
        </w:rPr>
      </w:pPr>
      <w:r>
        <w:rPr>
          <w:rFonts w:hint="eastAsia" w:ascii="宋体" w:hAnsi="宋体"/>
          <w:b/>
          <w:sz w:val="80"/>
          <w:szCs w:val="80"/>
        </w:rPr>
        <w:t>验</w:t>
      </w:r>
    </w:p>
    <w:p>
      <w:pPr>
        <w:spacing w:line="900" w:lineRule="exact"/>
        <w:jc w:val="center"/>
        <w:rPr>
          <w:rFonts w:ascii="宋体" w:hAnsi="宋体"/>
          <w:b/>
          <w:sz w:val="80"/>
          <w:szCs w:val="80"/>
        </w:rPr>
      </w:pPr>
      <w:r>
        <w:rPr>
          <w:rFonts w:hint="eastAsia" w:ascii="宋体" w:hAnsi="宋体"/>
          <w:b/>
          <w:sz w:val="80"/>
          <w:szCs w:val="80"/>
        </w:rPr>
        <w:t>服</w:t>
      </w:r>
    </w:p>
    <w:p>
      <w:pPr>
        <w:spacing w:line="900" w:lineRule="exact"/>
        <w:jc w:val="center"/>
        <w:rPr>
          <w:rFonts w:ascii="宋体" w:hAnsi="宋体"/>
          <w:b/>
          <w:sz w:val="80"/>
          <w:szCs w:val="80"/>
        </w:rPr>
      </w:pPr>
      <w:r>
        <w:rPr>
          <w:rFonts w:hint="eastAsia" w:ascii="宋体" w:hAnsi="宋体"/>
          <w:b/>
          <w:sz w:val="80"/>
          <w:szCs w:val="80"/>
        </w:rPr>
        <w:t>务</w:t>
      </w:r>
    </w:p>
    <w:p>
      <w:pPr>
        <w:rPr>
          <w:rFonts w:ascii="宋体" w:hAnsi="宋体"/>
          <w:sz w:val="30"/>
          <w:szCs w:val="30"/>
        </w:rPr>
      </w:pPr>
    </w:p>
    <w:p>
      <w:pPr>
        <w:jc w:val="left"/>
        <w:rPr>
          <w:rFonts w:ascii="宋体" w:hAnsi="宋体"/>
          <w:sz w:val="32"/>
          <w:szCs w:val="32"/>
          <w:u w:val="single"/>
        </w:rPr>
      </w:pPr>
      <w:r>
        <w:rPr>
          <w:rFonts w:hint="eastAsia" w:ascii="宋体" w:hAnsi="宋体"/>
          <w:sz w:val="32"/>
          <w:szCs w:val="32"/>
        </w:rPr>
        <w:t xml:space="preserve">         甲   方:   </w:t>
      </w:r>
    </w:p>
    <w:p>
      <w:pPr>
        <w:ind w:firstLine="1417" w:firstLineChars="443"/>
        <w:rPr>
          <w:rFonts w:ascii="宋体" w:hAnsi="宋体"/>
          <w:sz w:val="32"/>
          <w:szCs w:val="32"/>
        </w:rPr>
      </w:pPr>
    </w:p>
    <w:p>
      <w:pPr>
        <w:ind w:firstLine="1417" w:firstLineChars="443"/>
        <w:rPr>
          <w:rFonts w:ascii="宋体" w:hAnsi="宋体"/>
          <w:sz w:val="32"/>
          <w:szCs w:val="32"/>
          <w:u w:val="single"/>
        </w:rPr>
      </w:pPr>
      <w:r>
        <w:rPr>
          <w:rFonts w:hint="eastAsia" w:ascii="宋体" w:hAnsi="宋体"/>
          <w:sz w:val="32"/>
          <w:szCs w:val="32"/>
        </w:rPr>
        <w:t xml:space="preserve">乙   方:   </w:t>
      </w:r>
    </w:p>
    <w:p>
      <w:pPr>
        <w:jc w:val="center"/>
        <w:rPr>
          <w:rFonts w:ascii="宋体" w:hAnsi="宋体"/>
          <w:sz w:val="30"/>
          <w:szCs w:val="30"/>
        </w:rPr>
      </w:pPr>
    </w:p>
    <w:p>
      <w:pPr>
        <w:jc w:val="center"/>
        <w:rPr>
          <w:rFonts w:ascii="宋体" w:hAnsi="宋体"/>
          <w:b/>
          <w:sz w:val="44"/>
          <w:szCs w:val="44"/>
        </w:rPr>
      </w:pPr>
    </w:p>
    <w:p>
      <w:pPr>
        <w:jc w:val="center"/>
        <w:rPr>
          <w:rFonts w:ascii="宋体" w:hAnsi="宋体"/>
          <w:b/>
          <w:sz w:val="44"/>
          <w:szCs w:val="44"/>
        </w:rPr>
      </w:pPr>
      <w:r>
        <w:rPr>
          <w:rFonts w:hint="eastAsia" w:ascii="宋体" w:hAnsi="宋体"/>
          <w:b/>
          <w:sz w:val="44"/>
          <w:szCs w:val="44"/>
        </w:rPr>
        <w:t>电气工程试验合同</w:t>
      </w:r>
    </w:p>
    <w:p>
      <w:pPr>
        <w:jc w:val="center"/>
        <w:rPr>
          <w:rFonts w:ascii="宋体" w:hAnsi="宋体"/>
          <w:sz w:val="28"/>
          <w:szCs w:val="28"/>
        </w:rPr>
      </w:pPr>
      <w:r>
        <w:rPr>
          <w:rFonts w:hint="eastAsia" w:ascii="宋体" w:hAnsi="宋体"/>
          <w:sz w:val="24"/>
        </w:rPr>
        <w:t xml:space="preserve">                                                   合同编号: </w:t>
      </w:r>
    </w:p>
    <w:p>
      <w:pPr>
        <w:rPr>
          <w:rFonts w:ascii="仿宋_GB2312" w:hAnsi="宋体" w:eastAsia="仿宋_GB2312"/>
          <w:sz w:val="28"/>
          <w:szCs w:val="28"/>
        </w:rPr>
      </w:pPr>
      <w:r>
        <w:rPr>
          <w:rFonts w:hint="eastAsia" w:ascii="仿宋_GB2312" w:hAnsi="宋体" w:eastAsia="仿宋_GB2312"/>
          <w:sz w:val="28"/>
          <w:szCs w:val="28"/>
        </w:rPr>
        <w:t>甲方：</w:t>
      </w:r>
    </w:p>
    <w:p>
      <w:pPr>
        <w:rPr>
          <w:rFonts w:ascii="宋体" w:hAnsi="宋体"/>
          <w:sz w:val="28"/>
          <w:szCs w:val="28"/>
          <w:u w:val="single"/>
        </w:rPr>
      </w:pPr>
      <w:r>
        <w:rPr>
          <w:rFonts w:hint="eastAsia" w:ascii="仿宋_GB2312" w:hAnsi="宋体" w:eastAsia="仿宋_GB2312"/>
          <w:sz w:val="28"/>
          <w:szCs w:val="28"/>
        </w:rPr>
        <w:t>乙方：</w:t>
      </w:r>
    </w:p>
    <w:p>
      <w:pPr>
        <w:rPr>
          <w:rFonts w:ascii="宋体" w:hAnsi="宋体"/>
          <w:sz w:val="30"/>
          <w:szCs w:val="30"/>
        </w:rPr>
      </w:pP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依照《中华人民共和国合同法》和电气设备交接验收实验的有关规定，遵循平等、自愿、公平和诚实的原则，甲乙双方就乙方承接的配电房电气设备工程预防性试验工程，达成如下协议。  </w:t>
      </w:r>
    </w:p>
    <w:p>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 xml:space="preserve">第一条  工程名称、地点、范围及时间  </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工程名称：XXXXX配电房设备电气工程预防性试验</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工程地点：XXXX</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工程范围：详见附表 </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工程期限：协议商定 </w:t>
      </w:r>
    </w:p>
    <w:p>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 xml:space="preserve">第二条  试验费用  </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本合同价格为</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rPr>
        <w:t>元(大写人民币</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rPr>
        <w:t xml:space="preserve">元整。） </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试验报告通过供电主管部门验收，乙方提供符合要求的增值税专用发票后一次性付清。一次性付清合同价款即</w:t>
      </w:r>
      <w:r>
        <w:rPr>
          <w:rFonts w:hint="eastAsia" w:ascii="仿宋_GB2312" w:hAnsi="宋体" w:eastAsia="仿宋_GB2312"/>
          <w:sz w:val="32"/>
          <w:szCs w:val="32"/>
          <w:u w:val="single"/>
        </w:rPr>
        <w:t xml:space="preserve">   </w:t>
      </w:r>
      <w:r>
        <w:rPr>
          <w:rFonts w:hint="eastAsia" w:ascii="仿宋_GB2312" w:hAnsi="宋体" w:eastAsia="仿宋_GB2312"/>
          <w:sz w:val="32"/>
          <w:szCs w:val="32"/>
        </w:rPr>
        <w:t>元（大写</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元整）。       </w:t>
      </w:r>
    </w:p>
    <w:p>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 xml:space="preserve">第三条  甲方的权力和义务  </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1.甲方应在商定的时间内向乙方提供必要的资料。并对提供的时间、进度、资料的可靠性负责。  </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2.甲方对乙方的试验中发现的由设备厂家或施工方造成的设备缺陷负责督促消除。</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3.甲方有权检查乙方是否按设备的操作规程使用并操作设备,对违反操作规程的行为有权制止,对责任人有权按甲方的规章制度处罚，乙方应向甲方支付</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5000</w:t>
      </w:r>
      <w:r>
        <w:rPr>
          <w:rFonts w:hint="eastAsia" w:ascii="仿宋_GB2312" w:hAnsi="宋体" w:eastAsia="仿宋_GB2312"/>
          <w:sz w:val="32"/>
          <w:szCs w:val="32"/>
          <w:u w:val="single"/>
        </w:rPr>
        <w:t xml:space="preserve"> </w:t>
      </w:r>
      <w:r>
        <w:rPr>
          <w:rFonts w:hint="eastAsia" w:ascii="仿宋_GB2312" w:hAnsi="宋体" w:eastAsia="仿宋_GB2312"/>
          <w:sz w:val="32"/>
          <w:szCs w:val="32"/>
        </w:rPr>
        <w:t>元违约金并赔偿因此给甲方造成的全部损失。</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4.监督乙方落实相关安全措施。 </w:t>
      </w:r>
    </w:p>
    <w:p>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第四条  乙方的权力和义务</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1.乙方应严格按国家电力试验标准进行试验。  </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2.对试验中发现的电力设备缺陷应及时通知甲方进行处理，甲方处理后应及时复试。造成重复试验，所发生的费用列入工程决算，由甲方负担。  </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3.乙方应在商定的时间内向甲方提供准确可靠的试验参数和结论报告。结论报告应当保证其科学性和准确性。  </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4.乙方负责制定试验期间的安全措施，现场安全、技术措施不完备不得安排开工。必须满足安全要求做好安全措施后方可工作。  </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5.</w:t>
      </w:r>
      <w:r>
        <w:rPr>
          <w:rFonts w:hint="eastAsia"/>
        </w:rPr>
        <w:t xml:space="preserve"> </w:t>
      </w:r>
      <w:r>
        <w:rPr>
          <w:rFonts w:hint="eastAsia" w:ascii="仿宋_GB2312" w:hAnsi="宋体" w:eastAsia="仿宋_GB2312"/>
          <w:sz w:val="32"/>
          <w:szCs w:val="32"/>
        </w:rPr>
        <w:t>乙方应对有可能影响变配电安全运行的设备、元件、器材应在维保中及时提出，若因乙方原因造成的停电、设备损坏,给甲方造成损失,乙方除负责抢修损坏的电气设备外，同时甲方对乙方处以2000元/次违约金，乙方应赔偿因此给甲方造成的全部损失。</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6.乙方有义务在完成甲方配电室电气设备预防试验完成之日2年内，如遇甲方电气设备应急故障，乙方应在接到甲方通知后2小时内或甲方要求的合理时间内赶到现场，协助查找故障原因。</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7. 乙方对甲方提供的所有资料负有保密义务，未经甲方书面同意，不得以任何形式透露给任何第三方。</w:t>
      </w:r>
    </w:p>
    <w:p>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 xml:space="preserve">第五条  违约责任     </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1.未经甲方允许，乙方不得以任何方式将本项目分包给第三方，否则，甲方有权终止本合同。因此给甲方造成损失的，乙方负全额赔偿责任和费用。对工作不负责任或不合格人员，甲方有权提出更换，乙方拒绝更换或更换的人员不合格，甲方有权终止合同。</w:t>
      </w:r>
    </w:p>
    <w:p>
      <w:pPr>
        <w:ind w:firstLine="640" w:firstLineChars="200"/>
        <w:rPr>
          <w:rFonts w:ascii="仿宋_GB2312" w:hAnsi="宋体" w:eastAsia="仿宋_GB2312"/>
          <w:sz w:val="32"/>
          <w:szCs w:val="32"/>
        </w:rPr>
      </w:pPr>
      <w:r>
        <w:rPr>
          <w:rFonts w:hint="eastAsia" w:ascii="仿宋_GB2312" w:hAnsi="宋体" w:eastAsia="仿宋_GB2312"/>
          <w:sz w:val="32"/>
          <w:szCs w:val="32"/>
        </w:rPr>
        <w:t>2. 因乙方原因造成试验参数和结论报告不准确的，乙方应进行重复试验，直至提供准确科学的试验参数和结论报告为止，由此所产生的费用由乙方承担。</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因乙方原因工作不能按合同规定的期限完成，每逾期一天按合同总价款的6%/天作为违约金，违约金从本合同款中扣除，不足部分由乙方另行支付；乙方逾期超过15天，甲方有权解除合同，乙方应向甲方支付20%的违约金并赔偿因此给甲方造成的全部损失。</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3.乙方完成本合同规定的内容，甲方按照正常程序使用操作，若由乙方试验原因给甲方造成的任何损失，由乙方承担全部赔偿责任。</w:t>
      </w:r>
    </w:p>
    <w:p>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第六条  附则</w:t>
      </w:r>
    </w:p>
    <w:p>
      <w:pPr>
        <w:widowControl/>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1.本合同执行期间,如遇不可抗力因素,致使合同无法履行时，双方协商处理相关事宜。</w:t>
      </w:r>
    </w:p>
    <w:p>
      <w:pPr>
        <w:widowControl/>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2.</w:t>
      </w:r>
      <w:r>
        <w:rPr>
          <w:rFonts w:ascii="仿宋_GB2312" w:hAnsi="宋体" w:eastAsia="仿宋_GB2312"/>
          <w:sz w:val="32"/>
          <w:szCs w:val="32"/>
        </w:rPr>
        <w:t>本合同未尽事宜，须经双方协商解决，如协商不成，可向甲方住所地人民法院起诉。</w:t>
      </w:r>
    </w:p>
    <w:p>
      <w:pPr>
        <w:widowControl/>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3.</w:t>
      </w:r>
      <w:r>
        <w:rPr>
          <w:rFonts w:ascii="仿宋_GB2312" w:hAnsi="宋体" w:eastAsia="仿宋_GB2312"/>
          <w:sz w:val="32"/>
          <w:szCs w:val="32"/>
        </w:rPr>
        <w:t>本合同</w:t>
      </w:r>
      <w:r>
        <w:rPr>
          <w:rFonts w:hint="eastAsia" w:ascii="仿宋_GB2312" w:hAnsi="宋体" w:eastAsia="仿宋_GB2312"/>
          <w:sz w:val="32"/>
          <w:szCs w:val="32"/>
        </w:rPr>
        <w:t>一式4份，双方各持2份</w:t>
      </w:r>
      <w:r>
        <w:rPr>
          <w:rFonts w:ascii="仿宋_GB2312" w:hAnsi="宋体" w:eastAsia="仿宋_GB2312"/>
          <w:sz w:val="32"/>
          <w:szCs w:val="32"/>
        </w:rPr>
        <w:t>。本合同未尽事宜，按《中华人民共和国合同法》执行。</w:t>
      </w:r>
    </w:p>
    <w:p>
      <w:pPr>
        <w:rPr>
          <w:rFonts w:ascii="仿宋_GB2312" w:hAnsi="宋体" w:eastAsia="仿宋_GB2312"/>
          <w:sz w:val="32"/>
          <w:szCs w:val="32"/>
        </w:rPr>
      </w:pPr>
    </w:p>
    <w:p>
      <w:pPr>
        <w:rPr>
          <w:rFonts w:ascii="仿宋_GB2312" w:hAnsi="宋体" w:eastAsia="仿宋_GB2312"/>
          <w:sz w:val="32"/>
          <w:szCs w:val="32"/>
        </w:rPr>
      </w:pPr>
      <w:r>
        <w:rPr>
          <w:rFonts w:hint="eastAsia" w:ascii="仿宋_GB2312" w:hAnsi="宋体" w:eastAsia="仿宋_GB2312"/>
          <w:sz w:val="32"/>
          <w:szCs w:val="32"/>
        </w:rPr>
        <w:t xml:space="preserve">甲 方：                        乙 方：  </w:t>
      </w:r>
    </w:p>
    <w:p>
      <w:pPr>
        <w:rPr>
          <w:rFonts w:ascii="仿宋_GB2312" w:hAnsi="宋体" w:eastAsia="仿宋_GB2312"/>
          <w:sz w:val="32"/>
          <w:szCs w:val="32"/>
        </w:rPr>
      </w:pPr>
      <w:r>
        <w:rPr>
          <w:rFonts w:hint="eastAsia" w:ascii="仿宋_GB2312" w:hAnsi="宋体" w:eastAsia="仿宋_GB2312"/>
          <w:sz w:val="32"/>
          <w:szCs w:val="32"/>
        </w:rPr>
        <w:t xml:space="preserve">法定代表人：                  法定代表人： </w:t>
      </w:r>
    </w:p>
    <w:p>
      <w:pPr>
        <w:rPr>
          <w:rFonts w:ascii="仿宋_GB2312" w:hAnsi="宋体" w:eastAsia="仿宋_GB2312"/>
          <w:sz w:val="32"/>
          <w:szCs w:val="32"/>
        </w:rPr>
      </w:pPr>
      <w:r>
        <w:rPr>
          <w:rFonts w:hint="eastAsia" w:ascii="仿宋_GB2312" w:hAnsi="宋体" w:eastAsia="仿宋_GB2312"/>
          <w:sz w:val="32"/>
          <w:szCs w:val="32"/>
        </w:rPr>
        <w:t>委托代理人：                  委托代理人：</w:t>
      </w:r>
    </w:p>
    <w:p>
      <w:pPr>
        <w:ind w:firstLine="320" w:firstLineChars="100"/>
        <w:rPr>
          <w:rFonts w:ascii="仿宋_GB2312" w:hAnsi="宋体" w:eastAsia="仿宋_GB2312"/>
          <w:sz w:val="32"/>
          <w:szCs w:val="32"/>
        </w:rPr>
      </w:pPr>
      <w:r>
        <w:rPr>
          <w:rFonts w:hint="eastAsia" w:ascii="仿宋_GB2312" w:hAnsi="宋体" w:eastAsia="仿宋_GB2312"/>
          <w:sz w:val="32"/>
          <w:szCs w:val="32"/>
        </w:rPr>
        <w:t xml:space="preserve">开户银行：                    开户银行： </w:t>
      </w:r>
    </w:p>
    <w:p>
      <w:pPr>
        <w:ind w:firstLine="320" w:firstLineChars="100"/>
        <w:rPr>
          <w:rFonts w:ascii="仿宋_GB2312" w:hAnsi="宋体" w:eastAsia="仿宋_GB2312"/>
          <w:sz w:val="32"/>
          <w:szCs w:val="32"/>
        </w:rPr>
      </w:pPr>
      <w:r>
        <w:rPr>
          <w:rFonts w:hint="eastAsia" w:ascii="仿宋_GB2312" w:hAnsi="宋体" w:eastAsia="仿宋_GB2312"/>
          <w:sz w:val="32"/>
          <w:szCs w:val="32"/>
        </w:rPr>
        <w:t xml:space="preserve">帐    号：                    帐    号：                                     </w:t>
      </w:r>
    </w:p>
    <w:p>
      <w:pPr>
        <w:ind w:firstLine="320" w:firstLineChars="100"/>
        <w:rPr>
          <w:rFonts w:ascii="仿宋_GB2312" w:hAnsi="宋体" w:eastAsia="仿宋_GB2312"/>
          <w:sz w:val="32"/>
          <w:szCs w:val="32"/>
        </w:rPr>
      </w:pPr>
      <w:r>
        <w:rPr>
          <w:rFonts w:hint="eastAsia" w:ascii="仿宋_GB2312" w:hAnsi="宋体" w:eastAsia="仿宋_GB2312"/>
          <w:sz w:val="32"/>
          <w:szCs w:val="32"/>
        </w:rPr>
        <w:t xml:space="preserve">电    话：                    电    话：                               </w:t>
      </w:r>
    </w:p>
    <w:p>
      <w:pPr>
        <w:rPr>
          <w:rFonts w:ascii="仿宋_GB2312" w:hAnsi="宋体" w:eastAsia="仿宋_GB2312"/>
          <w:sz w:val="32"/>
          <w:szCs w:val="32"/>
        </w:rPr>
      </w:pPr>
    </w:p>
    <w:p>
      <w:pPr>
        <w:ind w:firstLine="160" w:firstLineChars="50"/>
        <w:rPr>
          <w:rFonts w:ascii="仿宋_GB2312" w:hAnsi="宋体" w:eastAsia="仿宋_GB2312"/>
          <w:sz w:val="32"/>
          <w:szCs w:val="32"/>
        </w:rPr>
      </w:pPr>
      <w:r>
        <w:rPr>
          <w:rFonts w:hint="eastAsia" w:ascii="仿宋_GB2312" w:hAnsi="宋体" w:eastAsia="仿宋_GB2312"/>
          <w:sz w:val="32"/>
          <w:szCs w:val="32"/>
        </w:rPr>
        <w:t xml:space="preserve">年    月    日                    年    月    日 </w:t>
      </w:r>
    </w:p>
    <w:p>
      <w:pPr>
        <w:ind w:firstLine="141" w:firstLineChars="50"/>
        <w:rPr>
          <w:rFonts w:ascii="Batang" w:hAnsi="Batang"/>
          <w:b/>
          <w:sz w:val="28"/>
          <w:szCs w:val="28"/>
        </w:rPr>
      </w:pPr>
    </w:p>
    <w:p>
      <w:pPr>
        <w:jc w:val="left"/>
        <w:rPr>
          <w:rFonts w:ascii="Batang" w:hAnsi="Batang"/>
          <w:b/>
          <w:sz w:val="28"/>
          <w:szCs w:val="28"/>
        </w:rPr>
      </w:pPr>
    </w:p>
    <w:p>
      <w:pPr>
        <w:jc w:val="left"/>
        <w:rPr>
          <w:rFonts w:ascii="Batang" w:hAnsi="Batang"/>
          <w:b/>
          <w:sz w:val="28"/>
          <w:szCs w:val="28"/>
        </w:rPr>
      </w:pPr>
    </w:p>
    <w:p>
      <w:pPr>
        <w:jc w:val="left"/>
        <w:rPr>
          <w:rFonts w:ascii="Batang" w:hAnsi="Batang"/>
          <w:b/>
          <w:sz w:val="28"/>
          <w:szCs w:val="28"/>
        </w:rPr>
      </w:pPr>
    </w:p>
    <w:p>
      <w:pPr>
        <w:jc w:val="left"/>
        <w:rPr>
          <w:rFonts w:ascii="Batang" w:hAnsi="Batang"/>
          <w:b/>
          <w:sz w:val="28"/>
          <w:szCs w:val="28"/>
        </w:rPr>
      </w:pPr>
    </w:p>
    <w:p>
      <w:pPr>
        <w:jc w:val="left"/>
        <w:rPr>
          <w:rFonts w:ascii="Batang" w:hAnsi="Batang"/>
          <w:b/>
          <w:sz w:val="28"/>
          <w:szCs w:val="28"/>
        </w:rPr>
      </w:pPr>
      <w:r>
        <w:rPr>
          <w:rFonts w:hint="eastAsia" w:ascii="Batang" w:hAnsi="Batang"/>
          <w:b/>
          <w:sz w:val="28"/>
          <w:szCs w:val="28"/>
        </w:rPr>
        <w:t>电气工程预防性试验内容及报价附表：</w:t>
      </w:r>
    </w:p>
    <w:p>
      <w:pPr>
        <w:jc w:val="center"/>
        <w:rPr>
          <w:rFonts w:ascii="Batang" w:hAnsi="Batang"/>
          <w:b/>
          <w:sz w:val="28"/>
          <w:szCs w:val="28"/>
        </w:rPr>
      </w:pPr>
      <w:r>
        <w:rPr>
          <w:rFonts w:hint="eastAsia" w:ascii="Batang" w:hAnsi="Batang"/>
          <w:b/>
          <w:sz w:val="28"/>
          <w:szCs w:val="28"/>
          <w:u w:val="single"/>
        </w:rPr>
        <w:t xml:space="preserve">                </w:t>
      </w:r>
      <w:r>
        <w:rPr>
          <w:rFonts w:hint="eastAsia" w:ascii="Batang" w:hAnsi="Batang"/>
          <w:b/>
          <w:sz w:val="28"/>
          <w:szCs w:val="28"/>
        </w:rPr>
        <w:t>公司预防性试验内容及报价</w:t>
      </w:r>
    </w:p>
    <w:tbl>
      <w:tblPr>
        <w:tblStyle w:val="9"/>
        <w:tblpPr w:leftFromText="180" w:rightFromText="180" w:vertAnchor="text" w:tblpY="1"/>
        <w:tblOverlap w:val="never"/>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263"/>
        <w:gridCol w:w="1484"/>
        <w:gridCol w:w="1418"/>
        <w:gridCol w:w="1016"/>
        <w:gridCol w:w="1176"/>
        <w:gridCol w:w="1296"/>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trPr>
        <w:tc>
          <w:tcPr>
            <w:tcW w:w="642" w:type="dxa"/>
            <w:noWrap/>
            <w:vAlign w:val="center"/>
          </w:tcPr>
          <w:p>
            <w:pPr>
              <w:jc w:val="center"/>
              <w:rPr>
                <w:rFonts w:ascii="宋体" w:hAnsi="宋体" w:cs="宋体"/>
                <w:b/>
                <w:bCs/>
                <w:sz w:val="24"/>
              </w:rPr>
            </w:pPr>
            <w:r>
              <w:rPr>
                <w:rFonts w:hint="eastAsia" w:ascii="宋体" w:hAnsi="宋体"/>
                <w:b/>
                <w:bCs/>
                <w:sz w:val="24"/>
              </w:rPr>
              <w:t>序号</w:t>
            </w:r>
          </w:p>
        </w:tc>
        <w:tc>
          <w:tcPr>
            <w:tcW w:w="1263" w:type="dxa"/>
            <w:noWrap/>
            <w:vAlign w:val="center"/>
          </w:tcPr>
          <w:p>
            <w:pPr>
              <w:jc w:val="center"/>
              <w:rPr>
                <w:rFonts w:ascii="宋体" w:hAnsi="宋体" w:cs="宋体"/>
                <w:b/>
                <w:bCs/>
                <w:sz w:val="24"/>
              </w:rPr>
            </w:pPr>
            <w:r>
              <w:rPr>
                <w:rFonts w:hint="eastAsia" w:ascii="宋体" w:hAnsi="宋体"/>
                <w:b/>
                <w:bCs/>
                <w:sz w:val="24"/>
              </w:rPr>
              <w:t>项目名称</w:t>
            </w:r>
          </w:p>
        </w:tc>
        <w:tc>
          <w:tcPr>
            <w:tcW w:w="1484" w:type="dxa"/>
            <w:noWrap/>
            <w:vAlign w:val="center"/>
          </w:tcPr>
          <w:p>
            <w:pPr>
              <w:jc w:val="center"/>
              <w:rPr>
                <w:rFonts w:ascii="宋体" w:hAnsi="宋体" w:cs="宋体"/>
                <w:b/>
                <w:bCs/>
                <w:sz w:val="24"/>
              </w:rPr>
            </w:pPr>
            <w:r>
              <w:rPr>
                <w:rFonts w:hint="eastAsia" w:ascii="宋体" w:hAnsi="宋体"/>
                <w:b/>
                <w:bCs/>
                <w:sz w:val="24"/>
              </w:rPr>
              <w:t>试验内容</w:t>
            </w:r>
          </w:p>
        </w:tc>
        <w:tc>
          <w:tcPr>
            <w:tcW w:w="1418" w:type="dxa"/>
            <w:noWrap/>
            <w:vAlign w:val="center"/>
          </w:tcPr>
          <w:p>
            <w:pPr>
              <w:jc w:val="center"/>
              <w:rPr>
                <w:rFonts w:ascii="宋体" w:hAnsi="宋体" w:cs="宋体"/>
                <w:b/>
                <w:bCs/>
                <w:sz w:val="24"/>
              </w:rPr>
            </w:pPr>
            <w:r>
              <w:rPr>
                <w:rFonts w:hint="eastAsia" w:ascii="宋体" w:hAnsi="宋体"/>
                <w:b/>
                <w:bCs/>
                <w:sz w:val="24"/>
              </w:rPr>
              <w:t>型号规格</w:t>
            </w:r>
          </w:p>
        </w:tc>
        <w:tc>
          <w:tcPr>
            <w:tcW w:w="1016" w:type="dxa"/>
            <w:noWrap/>
            <w:vAlign w:val="center"/>
          </w:tcPr>
          <w:p>
            <w:pPr>
              <w:jc w:val="center"/>
              <w:rPr>
                <w:rFonts w:ascii="宋体" w:hAnsi="宋体" w:cs="宋体"/>
                <w:b/>
                <w:bCs/>
                <w:sz w:val="24"/>
              </w:rPr>
            </w:pPr>
            <w:r>
              <w:rPr>
                <w:rFonts w:hint="eastAsia" w:ascii="宋体" w:hAnsi="宋体"/>
                <w:b/>
                <w:bCs/>
                <w:sz w:val="24"/>
              </w:rPr>
              <w:t>数量</w:t>
            </w:r>
          </w:p>
        </w:tc>
        <w:tc>
          <w:tcPr>
            <w:tcW w:w="1176" w:type="dxa"/>
            <w:noWrap/>
            <w:vAlign w:val="center"/>
          </w:tcPr>
          <w:p>
            <w:pPr>
              <w:jc w:val="center"/>
              <w:rPr>
                <w:rFonts w:ascii="宋体" w:hAnsi="宋体" w:cs="宋体"/>
                <w:b/>
                <w:bCs/>
                <w:sz w:val="24"/>
              </w:rPr>
            </w:pPr>
            <w:r>
              <w:rPr>
                <w:rFonts w:hint="eastAsia" w:ascii="宋体" w:hAnsi="宋体"/>
                <w:b/>
                <w:bCs/>
                <w:sz w:val="24"/>
              </w:rPr>
              <w:t>单价</w:t>
            </w:r>
          </w:p>
        </w:tc>
        <w:tc>
          <w:tcPr>
            <w:tcW w:w="1296" w:type="dxa"/>
            <w:noWrap/>
            <w:vAlign w:val="center"/>
          </w:tcPr>
          <w:p>
            <w:pPr>
              <w:jc w:val="center"/>
              <w:rPr>
                <w:rFonts w:ascii="宋体" w:hAnsi="宋体" w:cs="宋体"/>
                <w:b/>
                <w:bCs/>
                <w:sz w:val="24"/>
              </w:rPr>
            </w:pPr>
            <w:r>
              <w:rPr>
                <w:rFonts w:hint="eastAsia" w:ascii="宋体" w:hAnsi="宋体"/>
                <w:b/>
                <w:bCs/>
                <w:sz w:val="24"/>
              </w:rPr>
              <w:t>费用（元）</w:t>
            </w:r>
          </w:p>
        </w:tc>
        <w:tc>
          <w:tcPr>
            <w:tcW w:w="1064" w:type="dxa"/>
            <w:noWrap/>
            <w:vAlign w:val="center"/>
          </w:tcPr>
          <w:p>
            <w:pPr>
              <w:jc w:val="center"/>
              <w:rPr>
                <w:rFonts w:ascii="宋体" w:hAnsi="宋体" w:cs="宋体"/>
                <w:b/>
                <w:bCs/>
                <w:sz w:val="24"/>
              </w:rPr>
            </w:pPr>
            <w:r>
              <w:rPr>
                <w:rFonts w:hint="eastAsia" w:ascii="宋体" w:hAnsi="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3" w:hRule="atLeast"/>
        </w:trPr>
        <w:tc>
          <w:tcPr>
            <w:tcW w:w="642" w:type="dxa"/>
            <w:noWrap/>
            <w:vAlign w:val="center"/>
          </w:tcPr>
          <w:p>
            <w:pPr>
              <w:jc w:val="center"/>
              <w:rPr>
                <w:rFonts w:ascii="宋体" w:hAnsi="宋体"/>
                <w:sz w:val="24"/>
              </w:rPr>
            </w:pPr>
            <w:r>
              <w:rPr>
                <w:rFonts w:hint="eastAsia" w:ascii="宋体" w:hAnsi="宋体"/>
                <w:sz w:val="24"/>
              </w:rPr>
              <w:t>1</w:t>
            </w:r>
          </w:p>
        </w:tc>
        <w:tc>
          <w:tcPr>
            <w:tcW w:w="1263" w:type="dxa"/>
            <w:noWrap/>
            <w:vAlign w:val="center"/>
          </w:tcPr>
          <w:p>
            <w:pPr>
              <w:jc w:val="center"/>
              <w:rPr>
                <w:rFonts w:ascii="宋体" w:hAnsi="宋体" w:cs="宋体"/>
                <w:color w:val="000000"/>
                <w:sz w:val="24"/>
              </w:rPr>
            </w:pPr>
            <w:r>
              <w:rPr>
                <w:rFonts w:hint="eastAsia" w:ascii="宋体" w:hAnsi="宋体"/>
                <w:color w:val="000000"/>
                <w:sz w:val="24"/>
              </w:rPr>
              <w:t>10KV变压器</w:t>
            </w:r>
          </w:p>
        </w:tc>
        <w:tc>
          <w:tcPr>
            <w:tcW w:w="1484" w:type="dxa"/>
            <w:noWrap/>
            <w:vAlign w:val="center"/>
          </w:tcPr>
          <w:p>
            <w:pPr>
              <w:rPr>
                <w:rFonts w:ascii="宋体" w:hAnsi="宋体" w:cs="宋体"/>
                <w:color w:val="000000"/>
                <w:sz w:val="24"/>
              </w:rPr>
            </w:pPr>
            <w:r>
              <w:rPr>
                <w:rFonts w:hint="eastAsia" w:ascii="宋体" w:hAnsi="宋体"/>
                <w:color w:val="000000"/>
                <w:sz w:val="24"/>
              </w:rPr>
              <w:t>变比、直阻、绝缘、交流耐压、铁芯绝缘</w:t>
            </w:r>
          </w:p>
        </w:tc>
        <w:tc>
          <w:tcPr>
            <w:tcW w:w="1418" w:type="dxa"/>
            <w:noWrap/>
            <w:vAlign w:val="center"/>
          </w:tcPr>
          <w:p>
            <w:pPr>
              <w:jc w:val="center"/>
              <w:rPr>
                <w:rFonts w:ascii="宋体" w:hAnsi="宋体" w:cs="宋体"/>
                <w:sz w:val="24"/>
              </w:rPr>
            </w:pPr>
          </w:p>
        </w:tc>
        <w:tc>
          <w:tcPr>
            <w:tcW w:w="1016" w:type="dxa"/>
            <w:noWrap/>
            <w:vAlign w:val="center"/>
          </w:tcPr>
          <w:p>
            <w:pPr>
              <w:jc w:val="center"/>
              <w:rPr>
                <w:rFonts w:ascii="宋体" w:hAnsi="宋体" w:cs="宋体"/>
                <w:sz w:val="24"/>
              </w:rPr>
            </w:pPr>
          </w:p>
        </w:tc>
        <w:tc>
          <w:tcPr>
            <w:tcW w:w="1176" w:type="dxa"/>
            <w:noWrap/>
            <w:vAlign w:val="center"/>
          </w:tcPr>
          <w:p>
            <w:pPr>
              <w:jc w:val="center"/>
              <w:rPr>
                <w:rFonts w:ascii="宋体" w:hAnsi="宋体" w:cs="宋体"/>
                <w:sz w:val="24"/>
              </w:rPr>
            </w:pPr>
          </w:p>
        </w:tc>
        <w:tc>
          <w:tcPr>
            <w:tcW w:w="1296" w:type="dxa"/>
            <w:noWrap/>
            <w:vAlign w:val="center"/>
          </w:tcPr>
          <w:p>
            <w:pPr>
              <w:jc w:val="center"/>
              <w:rPr>
                <w:rFonts w:ascii="宋体" w:hAnsi="宋体" w:cs="宋体"/>
                <w:sz w:val="24"/>
              </w:rPr>
            </w:pPr>
          </w:p>
        </w:tc>
        <w:tc>
          <w:tcPr>
            <w:tcW w:w="1064" w:type="dxa"/>
            <w:noWrap/>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4" w:hRule="atLeast"/>
        </w:trPr>
        <w:tc>
          <w:tcPr>
            <w:tcW w:w="642" w:type="dxa"/>
            <w:noWrap/>
            <w:vAlign w:val="center"/>
          </w:tcPr>
          <w:p>
            <w:pPr>
              <w:jc w:val="center"/>
              <w:rPr>
                <w:rFonts w:ascii="宋体" w:hAnsi="宋体"/>
                <w:sz w:val="24"/>
              </w:rPr>
            </w:pPr>
            <w:r>
              <w:rPr>
                <w:rFonts w:hint="eastAsia" w:ascii="宋体" w:hAnsi="宋体"/>
                <w:sz w:val="24"/>
              </w:rPr>
              <w:t>2</w:t>
            </w:r>
          </w:p>
        </w:tc>
        <w:tc>
          <w:tcPr>
            <w:tcW w:w="1263" w:type="dxa"/>
            <w:noWrap/>
            <w:vAlign w:val="center"/>
          </w:tcPr>
          <w:p>
            <w:pPr>
              <w:rPr>
                <w:rFonts w:ascii="宋体" w:hAnsi="宋体" w:cs="宋体"/>
                <w:color w:val="000000"/>
                <w:sz w:val="24"/>
              </w:rPr>
            </w:pPr>
            <w:r>
              <w:rPr>
                <w:rFonts w:hint="eastAsia" w:ascii="宋体" w:hAnsi="宋体"/>
                <w:sz w:val="24"/>
              </w:rPr>
              <w:t>10KV电缆</w:t>
            </w:r>
          </w:p>
        </w:tc>
        <w:tc>
          <w:tcPr>
            <w:tcW w:w="1484" w:type="dxa"/>
            <w:noWrap/>
            <w:vAlign w:val="center"/>
          </w:tcPr>
          <w:p>
            <w:pPr>
              <w:jc w:val="center"/>
              <w:rPr>
                <w:rFonts w:ascii="宋体" w:hAnsi="宋体" w:cs="宋体"/>
                <w:sz w:val="24"/>
              </w:rPr>
            </w:pPr>
            <w:r>
              <w:rPr>
                <w:rFonts w:hint="eastAsia" w:ascii="宋体" w:hAnsi="宋体"/>
                <w:sz w:val="24"/>
              </w:rPr>
              <w:t>直阻、交流耐压、绝缘</w:t>
            </w:r>
          </w:p>
        </w:tc>
        <w:tc>
          <w:tcPr>
            <w:tcW w:w="1418" w:type="dxa"/>
            <w:noWrap/>
            <w:vAlign w:val="center"/>
          </w:tcPr>
          <w:p>
            <w:pPr>
              <w:jc w:val="center"/>
              <w:rPr>
                <w:rFonts w:ascii="宋体" w:hAnsi="宋体" w:cs="宋体"/>
                <w:sz w:val="24"/>
              </w:rPr>
            </w:pPr>
          </w:p>
        </w:tc>
        <w:tc>
          <w:tcPr>
            <w:tcW w:w="1016" w:type="dxa"/>
            <w:noWrap/>
            <w:vAlign w:val="center"/>
          </w:tcPr>
          <w:p>
            <w:pPr>
              <w:jc w:val="center"/>
              <w:rPr>
                <w:rFonts w:ascii="宋体" w:hAnsi="宋体" w:cs="宋体"/>
                <w:sz w:val="24"/>
              </w:rPr>
            </w:pPr>
          </w:p>
        </w:tc>
        <w:tc>
          <w:tcPr>
            <w:tcW w:w="1176" w:type="dxa"/>
            <w:noWrap/>
            <w:vAlign w:val="center"/>
          </w:tcPr>
          <w:p>
            <w:pPr>
              <w:jc w:val="center"/>
              <w:rPr>
                <w:rFonts w:ascii="宋体" w:hAnsi="宋体" w:cs="宋体"/>
                <w:sz w:val="24"/>
              </w:rPr>
            </w:pPr>
          </w:p>
        </w:tc>
        <w:tc>
          <w:tcPr>
            <w:tcW w:w="1296" w:type="dxa"/>
            <w:noWrap/>
            <w:vAlign w:val="center"/>
          </w:tcPr>
          <w:p>
            <w:pPr>
              <w:jc w:val="center"/>
              <w:rPr>
                <w:rFonts w:ascii="宋体" w:hAnsi="宋体" w:cs="宋体"/>
                <w:color w:val="000000"/>
                <w:sz w:val="24"/>
              </w:rPr>
            </w:pPr>
          </w:p>
        </w:tc>
        <w:tc>
          <w:tcPr>
            <w:tcW w:w="1064" w:type="dxa"/>
            <w:noWrap/>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0" w:hRule="atLeast"/>
        </w:trPr>
        <w:tc>
          <w:tcPr>
            <w:tcW w:w="642" w:type="dxa"/>
            <w:noWrap/>
            <w:vAlign w:val="center"/>
          </w:tcPr>
          <w:p>
            <w:pPr>
              <w:jc w:val="center"/>
              <w:rPr>
                <w:rFonts w:ascii="宋体" w:hAnsi="宋体"/>
                <w:sz w:val="24"/>
              </w:rPr>
            </w:pPr>
            <w:r>
              <w:rPr>
                <w:rFonts w:hint="eastAsia" w:ascii="宋体" w:hAnsi="宋体"/>
                <w:sz w:val="24"/>
              </w:rPr>
              <w:t>3</w:t>
            </w:r>
          </w:p>
        </w:tc>
        <w:tc>
          <w:tcPr>
            <w:tcW w:w="1263" w:type="dxa"/>
            <w:noWrap/>
            <w:vAlign w:val="center"/>
          </w:tcPr>
          <w:p>
            <w:pPr>
              <w:rPr>
                <w:rFonts w:ascii="宋体" w:hAnsi="宋体" w:cs="宋体"/>
                <w:color w:val="000000"/>
                <w:sz w:val="24"/>
              </w:rPr>
            </w:pPr>
            <w:r>
              <w:rPr>
                <w:rFonts w:hint="eastAsia" w:ascii="宋体" w:hAnsi="宋体" w:cs="宋体"/>
                <w:color w:val="000000"/>
                <w:sz w:val="24"/>
              </w:rPr>
              <w:t>高压成套柜</w:t>
            </w:r>
          </w:p>
        </w:tc>
        <w:tc>
          <w:tcPr>
            <w:tcW w:w="1484" w:type="dxa"/>
            <w:noWrap/>
            <w:vAlign w:val="center"/>
          </w:tcPr>
          <w:p>
            <w:pPr>
              <w:rPr>
                <w:rFonts w:ascii="宋体" w:hAnsi="宋体" w:cs="宋体"/>
                <w:sz w:val="24"/>
              </w:rPr>
            </w:pPr>
            <w:r>
              <w:rPr>
                <w:rFonts w:hint="eastAsia" w:ascii="宋体" w:hAnsi="宋体"/>
                <w:sz w:val="24"/>
              </w:rPr>
              <w:t>绝缘、工频放电、回阻、交流耐压、变比、直阻、保护校验</w:t>
            </w:r>
          </w:p>
        </w:tc>
        <w:tc>
          <w:tcPr>
            <w:tcW w:w="1418" w:type="dxa"/>
            <w:noWrap/>
            <w:vAlign w:val="center"/>
          </w:tcPr>
          <w:p>
            <w:pPr>
              <w:jc w:val="center"/>
              <w:rPr>
                <w:rFonts w:ascii="宋体" w:hAnsi="宋体" w:cs="宋体"/>
                <w:sz w:val="24"/>
              </w:rPr>
            </w:pPr>
          </w:p>
        </w:tc>
        <w:tc>
          <w:tcPr>
            <w:tcW w:w="1016" w:type="dxa"/>
            <w:noWrap/>
            <w:vAlign w:val="center"/>
          </w:tcPr>
          <w:p>
            <w:pPr>
              <w:jc w:val="center"/>
              <w:rPr>
                <w:rFonts w:ascii="宋体" w:hAnsi="宋体" w:cs="宋体"/>
                <w:sz w:val="24"/>
              </w:rPr>
            </w:pPr>
          </w:p>
        </w:tc>
        <w:tc>
          <w:tcPr>
            <w:tcW w:w="1176" w:type="dxa"/>
            <w:noWrap/>
            <w:vAlign w:val="center"/>
          </w:tcPr>
          <w:p>
            <w:pPr>
              <w:jc w:val="center"/>
              <w:rPr>
                <w:rFonts w:ascii="宋体" w:hAnsi="宋体" w:cs="宋体"/>
                <w:sz w:val="24"/>
              </w:rPr>
            </w:pPr>
          </w:p>
        </w:tc>
        <w:tc>
          <w:tcPr>
            <w:tcW w:w="1296" w:type="dxa"/>
            <w:noWrap/>
            <w:vAlign w:val="center"/>
          </w:tcPr>
          <w:p>
            <w:pPr>
              <w:jc w:val="center"/>
              <w:rPr>
                <w:rFonts w:ascii="宋体" w:hAnsi="宋体" w:cs="宋体"/>
                <w:color w:val="000000"/>
                <w:sz w:val="24"/>
              </w:rPr>
            </w:pPr>
          </w:p>
        </w:tc>
        <w:tc>
          <w:tcPr>
            <w:tcW w:w="1064" w:type="dxa"/>
            <w:noWrap/>
            <w:vAlign w:val="center"/>
          </w:tcPr>
          <w:p>
            <w:pPr>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8" w:hRule="atLeast"/>
        </w:trPr>
        <w:tc>
          <w:tcPr>
            <w:tcW w:w="642" w:type="dxa"/>
            <w:noWrap/>
            <w:vAlign w:val="center"/>
          </w:tcPr>
          <w:p>
            <w:pPr>
              <w:jc w:val="center"/>
              <w:rPr>
                <w:rFonts w:ascii="宋体" w:hAnsi="宋体"/>
                <w:sz w:val="24"/>
              </w:rPr>
            </w:pPr>
            <w:r>
              <w:rPr>
                <w:rFonts w:hint="eastAsia" w:ascii="宋体" w:hAnsi="宋体"/>
                <w:sz w:val="24"/>
              </w:rPr>
              <w:t>4</w:t>
            </w:r>
          </w:p>
        </w:tc>
        <w:tc>
          <w:tcPr>
            <w:tcW w:w="1263" w:type="dxa"/>
            <w:noWrap/>
            <w:vAlign w:val="center"/>
          </w:tcPr>
          <w:p>
            <w:pPr>
              <w:rPr>
                <w:rFonts w:ascii="宋体" w:hAnsi="宋体" w:cs="宋体"/>
                <w:color w:val="000000"/>
                <w:sz w:val="24"/>
              </w:rPr>
            </w:pPr>
            <w:r>
              <w:rPr>
                <w:rFonts w:hint="eastAsia" w:ascii="宋体" w:hAnsi="宋体" w:cs="宋体"/>
                <w:color w:val="000000"/>
                <w:sz w:val="24"/>
              </w:rPr>
              <w:t>高压母线</w:t>
            </w:r>
          </w:p>
        </w:tc>
        <w:tc>
          <w:tcPr>
            <w:tcW w:w="1484" w:type="dxa"/>
            <w:noWrap/>
            <w:vAlign w:val="center"/>
          </w:tcPr>
          <w:p>
            <w:pPr>
              <w:jc w:val="center"/>
              <w:rPr>
                <w:rFonts w:ascii="宋体" w:hAnsi="宋体" w:cs="宋体"/>
                <w:color w:val="000000"/>
                <w:sz w:val="24"/>
              </w:rPr>
            </w:pPr>
            <w:r>
              <w:rPr>
                <w:rFonts w:hint="eastAsia" w:ascii="宋体" w:hAnsi="宋体"/>
                <w:color w:val="000000"/>
                <w:sz w:val="24"/>
              </w:rPr>
              <w:t>绝缘、耐压</w:t>
            </w:r>
          </w:p>
        </w:tc>
        <w:tc>
          <w:tcPr>
            <w:tcW w:w="1418" w:type="dxa"/>
            <w:noWrap/>
            <w:vAlign w:val="center"/>
          </w:tcPr>
          <w:p>
            <w:pPr>
              <w:jc w:val="center"/>
              <w:rPr>
                <w:rFonts w:ascii="宋体" w:hAnsi="宋体" w:cs="宋体"/>
                <w:color w:val="000000"/>
                <w:sz w:val="24"/>
              </w:rPr>
            </w:pPr>
          </w:p>
        </w:tc>
        <w:tc>
          <w:tcPr>
            <w:tcW w:w="1016" w:type="dxa"/>
            <w:noWrap/>
            <w:vAlign w:val="center"/>
          </w:tcPr>
          <w:p>
            <w:pPr>
              <w:jc w:val="center"/>
              <w:rPr>
                <w:rFonts w:ascii="宋体" w:hAnsi="宋体" w:cs="宋体"/>
                <w:color w:val="000000"/>
                <w:sz w:val="24"/>
              </w:rPr>
            </w:pPr>
          </w:p>
        </w:tc>
        <w:tc>
          <w:tcPr>
            <w:tcW w:w="1176" w:type="dxa"/>
            <w:noWrap/>
            <w:vAlign w:val="center"/>
          </w:tcPr>
          <w:p>
            <w:pPr>
              <w:jc w:val="center"/>
              <w:rPr>
                <w:rFonts w:ascii="宋体" w:hAnsi="宋体" w:cs="宋体"/>
                <w:color w:val="000000"/>
                <w:sz w:val="24"/>
              </w:rPr>
            </w:pPr>
          </w:p>
        </w:tc>
        <w:tc>
          <w:tcPr>
            <w:tcW w:w="1296" w:type="dxa"/>
            <w:noWrap/>
            <w:vAlign w:val="center"/>
          </w:tcPr>
          <w:p>
            <w:pPr>
              <w:jc w:val="center"/>
              <w:rPr>
                <w:rFonts w:ascii="宋体" w:hAnsi="宋体" w:cs="宋体"/>
                <w:color w:val="000000"/>
                <w:sz w:val="24"/>
              </w:rPr>
            </w:pPr>
          </w:p>
        </w:tc>
        <w:tc>
          <w:tcPr>
            <w:tcW w:w="1064" w:type="dxa"/>
            <w:noWrap/>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8" w:hRule="atLeast"/>
        </w:trPr>
        <w:tc>
          <w:tcPr>
            <w:tcW w:w="642" w:type="dxa"/>
            <w:noWrap/>
            <w:vAlign w:val="center"/>
          </w:tcPr>
          <w:p>
            <w:pPr>
              <w:jc w:val="center"/>
              <w:rPr>
                <w:rFonts w:ascii="宋体" w:hAnsi="宋体"/>
                <w:sz w:val="24"/>
              </w:rPr>
            </w:pPr>
            <w:r>
              <w:rPr>
                <w:rFonts w:hint="eastAsia" w:ascii="宋体" w:hAnsi="宋体"/>
                <w:sz w:val="24"/>
              </w:rPr>
              <w:t>5</w:t>
            </w:r>
          </w:p>
        </w:tc>
        <w:tc>
          <w:tcPr>
            <w:tcW w:w="1263" w:type="dxa"/>
            <w:noWrap/>
            <w:vAlign w:val="center"/>
          </w:tcPr>
          <w:p>
            <w:pPr>
              <w:jc w:val="center"/>
              <w:rPr>
                <w:rFonts w:ascii="宋体" w:hAnsi="宋体" w:cs="宋体"/>
                <w:color w:val="000000"/>
                <w:sz w:val="24"/>
              </w:rPr>
            </w:pPr>
            <w:r>
              <w:rPr>
                <w:rFonts w:hint="eastAsia" w:ascii="宋体" w:hAnsi="宋体" w:cs="宋体"/>
                <w:color w:val="000000"/>
                <w:sz w:val="24"/>
              </w:rPr>
              <w:t>低压母线</w:t>
            </w:r>
          </w:p>
        </w:tc>
        <w:tc>
          <w:tcPr>
            <w:tcW w:w="1484" w:type="dxa"/>
            <w:noWrap/>
            <w:vAlign w:val="center"/>
          </w:tcPr>
          <w:p>
            <w:pPr>
              <w:jc w:val="center"/>
              <w:rPr>
                <w:rFonts w:ascii="宋体" w:hAnsi="宋体"/>
                <w:color w:val="000000"/>
                <w:sz w:val="24"/>
              </w:rPr>
            </w:pPr>
            <w:r>
              <w:rPr>
                <w:rFonts w:hint="eastAsia" w:ascii="宋体" w:hAnsi="宋体"/>
                <w:color w:val="000000"/>
                <w:sz w:val="24"/>
              </w:rPr>
              <w:t>绝缘、耐压</w:t>
            </w:r>
          </w:p>
        </w:tc>
        <w:tc>
          <w:tcPr>
            <w:tcW w:w="1418" w:type="dxa"/>
            <w:noWrap/>
            <w:vAlign w:val="center"/>
          </w:tcPr>
          <w:p>
            <w:pPr>
              <w:jc w:val="center"/>
              <w:rPr>
                <w:rFonts w:ascii="宋体" w:hAnsi="宋体" w:cs="宋体"/>
                <w:color w:val="000000"/>
                <w:sz w:val="24"/>
              </w:rPr>
            </w:pPr>
          </w:p>
        </w:tc>
        <w:tc>
          <w:tcPr>
            <w:tcW w:w="1016" w:type="dxa"/>
            <w:noWrap/>
            <w:vAlign w:val="center"/>
          </w:tcPr>
          <w:p>
            <w:pPr>
              <w:jc w:val="center"/>
              <w:rPr>
                <w:rFonts w:ascii="宋体" w:hAnsi="宋体"/>
                <w:color w:val="000000"/>
                <w:sz w:val="24"/>
              </w:rPr>
            </w:pPr>
          </w:p>
        </w:tc>
        <w:tc>
          <w:tcPr>
            <w:tcW w:w="1176" w:type="dxa"/>
            <w:noWrap/>
            <w:vAlign w:val="center"/>
          </w:tcPr>
          <w:p>
            <w:pPr>
              <w:jc w:val="center"/>
              <w:rPr>
                <w:rFonts w:ascii="宋体" w:hAnsi="宋体"/>
                <w:color w:val="000000"/>
                <w:sz w:val="24"/>
              </w:rPr>
            </w:pPr>
          </w:p>
        </w:tc>
        <w:tc>
          <w:tcPr>
            <w:tcW w:w="1296" w:type="dxa"/>
            <w:noWrap/>
            <w:vAlign w:val="center"/>
          </w:tcPr>
          <w:p>
            <w:pPr>
              <w:jc w:val="center"/>
              <w:rPr>
                <w:rFonts w:ascii="宋体" w:hAnsi="宋体"/>
                <w:color w:val="000000"/>
                <w:sz w:val="24"/>
              </w:rPr>
            </w:pPr>
          </w:p>
        </w:tc>
        <w:tc>
          <w:tcPr>
            <w:tcW w:w="1064" w:type="dxa"/>
            <w:noWrap/>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8" w:hRule="atLeast"/>
        </w:trPr>
        <w:tc>
          <w:tcPr>
            <w:tcW w:w="642" w:type="dxa"/>
            <w:noWrap/>
            <w:vAlign w:val="center"/>
          </w:tcPr>
          <w:p>
            <w:pPr>
              <w:jc w:val="center"/>
              <w:rPr>
                <w:rFonts w:ascii="宋体" w:hAnsi="宋体"/>
                <w:sz w:val="24"/>
              </w:rPr>
            </w:pPr>
            <w:r>
              <w:rPr>
                <w:rFonts w:hint="eastAsia" w:ascii="宋体" w:hAnsi="宋体"/>
                <w:sz w:val="24"/>
              </w:rPr>
              <w:t>5</w:t>
            </w:r>
          </w:p>
        </w:tc>
        <w:tc>
          <w:tcPr>
            <w:tcW w:w="1263" w:type="dxa"/>
            <w:noWrap/>
            <w:vAlign w:val="center"/>
          </w:tcPr>
          <w:p>
            <w:pPr>
              <w:jc w:val="center"/>
              <w:rPr>
                <w:rFonts w:ascii="宋体" w:hAnsi="宋体" w:cs="宋体"/>
                <w:color w:val="000000"/>
                <w:sz w:val="24"/>
              </w:rPr>
            </w:pPr>
            <w:r>
              <w:rPr>
                <w:rFonts w:hint="eastAsia" w:ascii="宋体" w:hAnsi="宋体" w:cs="宋体"/>
                <w:color w:val="000000"/>
                <w:sz w:val="24"/>
              </w:rPr>
              <w:t>接地电阻</w:t>
            </w:r>
          </w:p>
        </w:tc>
        <w:tc>
          <w:tcPr>
            <w:tcW w:w="1484" w:type="dxa"/>
            <w:noWrap/>
            <w:vAlign w:val="center"/>
          </w:tcPr>
          <w:p>
            <w:pPr>
              <w:jc w:val="center"/>
              <w:rPr>
                <w:rFonts w:ascii="宋体" w:hAnsi="宋体" w:cs="宋体"/>
                <w:color w:val="000000"/>
                <w:sz w:val="24"/>
              </w:rPr>
            </w:pPr>
            <w:r>
              <w:rPr>
                <w:rFonts w:hint="eastAsia" w:ascii="宋体" w:hAnsi="宋体"/>
                <w:color w:val="000000"/>
                <w:sz w:val="24"/>
              </w:rPr>
              <w:t>对地电阻</w:t>
            </w:r>
          </w:p>
        </w:tc>
        <w:tc>
          <w:tcPr>
            <w:tcW w:w="1418" w:type="dxa"/>
            <w:noWrap/>
            <w:vAlign w:val="center"/>
          </w:tcPr>
          <w:p>
            <w:pPr>
              <w:jc w:val="center"/>
              <w:rPr>
                <w:rFonts w:ascii="宋体" w:hAnsi="宋体" w:cs="宋体"/>
                <w:color w:val="000000"/>
                <w:sz w:val="24"/>
              </w:rPr>
            </w:pPr>
          </w:p>
        </w:tc>
        <w:tc>
          <w:tcPr>
            <w:tcW w:w="1016" w:type="dxa"/>
            <w:noWrap/>
            <w:vAlign w:val="center"/>
          </w:tcPr>
          <w:p>
            <w:pPr>
              <w:jc w:val="center"/>
              <w:rPr>
                <w:rFonts w:ascii="宋体" w:hAnsi="宋体" w:cs="宋体"/>
                <w:color w:val="000000"/>
                <w:sz w:val="24"/>
              </w:rPr>
            </w:pPr>
          </w:p>
        </w:tc>
        <w:tc>
          <w:tcPr>
            <w:tcW w:w="1176" w:type="dxa"/>
            <w:noWrap/>
            <w:vAlign w:val="center"/>
          </w:tcPr>
          <w:p>
            <w:pPr>
              <w:jc w:val="center"/>
              <w:rPr>
                <w:rFonts w:ascii="宋体" w:hAnsi="宋体" w:cs="宋体"/>
                <w:color w:val="000000"/>
                <w:sz w:val="24"/>
              </w:rPr>
            </w:pPr>
          </w:p>
        </w:tc>
        <w:tc>
          <w:tcPr>
            <w:tcW w:w="1296" w:type="dxa"/>
            <w:noWrap/>
            <w:vAlign w:val="center"/>
          </w:tcPr>
          <w:p>
            <w:pPr>
              <w:jc w:val="center"/>
              <w:rPr>
                <w:rFonts w:ascii="宋体" w:hAnsi="宋体" w:cs="宋体"/>
                <w:color w:val="000000"/>
                <w:sz w:val="24"/>
              </w:rPr>
            </w:pPr>
          </w:p>
        </w:tc>
        <w:tc>
          <w:tcPr>
            <w:tcW w:w="1064" w:type="dxa"/>
            <w:noWrap/>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8" w:hRule="atLeast"/>
        </w:trPr>
        <w:tc>
          <w:tcPr>
            <w:tcW w:w="642" w:type="dxa"/>
            <w:noWrap/>
            <w:vAlign w:val="center"/>
          </w:tcPr>
          <w:p>
            <w:pPr>
              <w:jc w:val="center"/>
              <w:rPr>
                <w:rFonts w:ascii="宋体" w:hAnsi="宋体"/>
                <w:sz w:val="24"/>
              </w:rPr>
            </w:pPr>
            <w:r>
              <w:rPr>
                <w:rFonts w:hint="eastAsia" w:ascii="宋体" w:hAnsi="宋体"/>
                <w:sz w:val="24"/>
              </w:rPr>
              <w:t>6</w:t>
            </w:r>
          </w:p>
        </w:tc>
        <w:tc>
          <w:tcPr>
            <w:tcW w:w="1263" w:type="dxa"/>
            <w:noWrap/>
            <w:vAlign w:val="center"/>
          </w:tcPr>
          <w:p>
            <w:pPr>
              <w:jc w:val="center"/>
              <w:rPr>
                <w:rFonts w:ascii="宋体" w:hAnsi="宋体" w:cs="宋体"/>
                <w:color w:val="000000"/>
                <w:sz w:val="24"/>
              </w:rPr>
            </w:pPr>
            <w:r>
              <w:rPr>
                <w:rFonts w:hint="eastAsia" w:ascii="宋体" w:hAnsi="宋体" w:cs="宋体"/>
                <w:color w:val="000000"/>
                <w:sz w:val="24"/>
              </w:rPr>
              <w:t>安全</w:t>
            </w:r>
          </w:p>
          <w:p>
            <w:pPr>
              <w:jc w:val="center"/>
              <w:rPr>
                <w:rFonts w:ascii="宋体" w:hAnsi="宋体" w:cs="宋体"/>
                <w:color w:val="000000"/>
                <w:sz w:val="24"/>
              </w:rPr>
            </w:pPr>
            <w:r>
              <w:rPr>
                <w:rFonts w:hint="eastAsia" w:ascii="宋体" w:hAnsi="宋体" w:cs="宋体"/>
                <w:color w:val="000000"/>
                <w:sz w:val="24"/>
              </w:rPr>
              <w:t>工器具</w:t>
            </w:r>
          </w:p>
        </w:tc>
        <w:tc>
          <w:tcPr>
            <w:tcW w:w="1484" w:type="dxa"/>
            <w:noWrap/>
            <w:vAlign w:val="center"/>
          </w:tcPr>
          <w:p>
            <w:pPr>
              <w:jc w:val="center"/>
              <w:rPr>
                <w:rFonts w:ascii="宋体" w:hAnsi="宋体" w:cs="宋体"/>
                <w:color w:val="000000"/>
                <w:sz w:val="24"/>
              </w:rPr>
            </w:pPr>
            <w:r>
              <w:rPr>
                <w:rFonts w:hint="eastAsia" w:ascii="宋体" w:hAnsi="宋体"/>
                <w:color w:val="000000"/>
                <w:sz w:val="24"/>
              </w:rPr>
              <w:t>绝缘、耐压</w:t>
            </w:r>
          </w:p>
        </w:tc>
        <w:tc>
          <w:tcPr>
            <w:tcW w:w="1418" w:type="dxa"/>
            <w:noWrap/>
            <w:vAlign w:val="center"/>
          </w:tcPr>
          <w:p>
            <w:pPr>
              <w:jc w:val="center"/>
              <w:rPr>
                <w:rFonts w:ascii="宋体" w:hAnsi="宋体" w:cs="宋体"/>
                <w:color w:val="000000"/>
                <w:sz w:val="24"/>
              </w:rPr>
            </w:pPr>
          </w:p>
        </w:tc>
        <w:tc>
          <w:tcPr>
            <w:tcW w:w="1016" w:type="dxa"/>
            <w:noWrap/>
            <w:vAlign w:val="center"/>
          </w:tcPr>
          <w:p>
            <w:pPr>
              <w:jc w:val="center"/>
              <w:rPr>
                <w:rFonts w:ascii="宋体" w:hAnsi="宋体" w:cs="宋体"/>
                <w:color w:val="000000"/>
                <w:sz w:val="24"/>
              </w:rPr>
            </w:pPr>
          </w:p>
        </w:tc>
        <w:tc>
          <w:tcPr>
            <w:tcW w:w="1176" w:type="dxa"/>
            <w:noWrap/>
            <w:vAlign w:val="center"/>
          </w:tcPr>
          <w:p>
            <w:pPr>
              <w:jc w:val="center"/>
              <w:rPr>
                <w:rFonts w:ascii="宋体" w:hAnsi="宋体" w:cs="宋体"/>
                <w:color w:val="000000"/>
                <w:sz w:val="24"/>
              </w:rPr>
            </w:pPr>
          </w:p>
        </w:tc>
        <w:tc>
          <w:tcPr>
            <w:tcW w:w="1296" w:type="dxa"/>
            <w:noWrap/>
            <w:vAlign w:val="center"/>
          </w:tcPr>
          <w:p>
            <w:pPr>
              <w:jc w:val="center"/>
              <w:rPr>
                <w:rFonts w:ascii="宋体" w:hAnsi="宋体" w:cs="宋体"/>
                <w:color w:val="000000"/>
                <w:sz w:val="24"/>
              </w:rPr>
            </w:pPr>
          </w:p>
        </w:tc>
        <w:tc>
          <w:tcPr>
            <w:tcW w:w="1064" w:type="dxa"/>
            <w:noWrap/>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642" w:type="dxa"/>
            <w:noWrap/>
            <w:vAlign w:val="center"/>
          </w:tcPr>
          <w:p>
            <w:pPr>
              <w:jc w:val="center"/>
              <w:rPr>
                <w:rFonts w:ascii="宋体" w:hAnsi="宋体" w:cs="宋体"/>
                <w:sz w:val="24"/>
              </w:rPr>
            </w:pPr>
            <w:r>
              <w:rPr>
                <w:rFonts w:hint="eastAsia" w:ascii="宋体" w:hAnsi="宋体" w:cs="宋体"/>
                <w:sz w:val="24"/>
              </w:rPr>
              <w:t>7</w:t>
            </w:r>
          </w:p>
        </w:tc>
        <w:tc>
          <w:tcPr>
            <w:tcW w:w="4165" w:type="dxa"/>
            <w:gridSpan w:val="3"/>
            <w:noWrap/>
            <w:vAlign w:val="center"/>
          </w:tcPr>
          <w:p>
            <w:pPr>
              <w:jc w:val="center"/>
              <w:rPr>
                <w:rFonts w:ascii="Batang" w:hAnsi="Batang"/>
                <w:b/>
                <w:sz w:val="28"/>
                <w:szCs w:val="28"/>
              </w:rPr>
            </w:pPr>
            <w:r>
              <w:rPr>
                <w:rFonts w:hint="eastAsia" w:ascii="Batang" w:hAnsi="Batang"/>
                <w:b/>
                <w:sz w:val="28"/>
                <w:szCs w:val="28"/>
              </w:rPr>
              <w:t>小计</w:t>
            </w:r>
          </w:p>
        </w:tc>
        <w:tc>
          <w:tcPr>
            <w:tcW w:w="1016" w:type="dxa"/>
            <w:noWrap/>
            <w:vAlign w:val="center"/>
          </w:tcPr>
          <w:p>
            <w:pPr>
              <w:jc w:val="center"/>
              <w:rPr>
                <w:rFonts w:ascii="Batang" w:hAnsi="Batang"/>
                <w:b/>
                <w:sz w:val="28"/>
                <w:szCs w:val="28"/>
              </w:rPr>
            </w:pPr>
          </w:p>
        </w:tc>
        <w:tc>
          <w:tcPr>
            <w:tcW w:w="1176" w:type="dxa"/>
            <w:noWrap/>
            <w:vAlign w:val="center"/>
          </w:tcPr>
          <w:p>
            <w:pPr>
              <w:jc w:val="center"/>
              <w:rPr>
                <w:rFonts w:ascii="Batang" w:hAnsi="Batang"/>
                <w:b/>
                <w:sz w:val="28"/>
                <w:szCs w:val="28"/>
              </w:rPr>
            </w:pPr>
          </w:p>
        </w:tc>
        <w:tc>
          <w:tcPr>
            <w:tcW w:w="1296" w:type="dxa"/>
            <w:noWrap/>
            <w:vAlign w:val="center"/>
          </w:tcPr>
          <w:p>
            <w:pPr>
              <w:jc w:val="center"/>
              <w:rPr>
                <w:rFonts w:ascii="宋体" w:hAnsi="宋体" w:cs="宋体"/>
                <w:color w:val="000000"/>
                <w:sz w:val="24"/>
              </w:rPr>
            </w:pPr>
          </w:p>
        </w:tc>
        <w:tc>
          <w:tcPr>
            <w:tcW w:w="1064" w:type="dxa"/>
            <w:noWrap/>
            <w:vAlign w:val="center"/>
          </w:tcPr>
          <w:p>
            <w:pPr>
              <w:jc w:val="center"/>
              <w:rPr>
                <w:rFonts w:ascii="Batang" w:hAnsi="Batang"/>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642" w:type="dxa"/>
            <w:noWrap/>
            <w:vAlign w:val="center"/>
          </w:tcPr>
          <w:p>
            <w:pPr>
              <w:jc w:val="center"/>
              <w:rPr>
                <w:rFonts w:ascii="宋体" w:hAnsi="宋体" w:cs="宋体"/>
                <w:sz w:val="24"/>
              </w:rPr>
            </w:pPr>
            <w:r>
              <w:rPr>
                <w:rFonts w:hint="eastAsia" w:ascii="宋体" w:hAnsi="宋体" w:cs="宋体"/>
                <w:sz w:val="24"/>
              </w:rPr>
              <w:t>8</w:t>
            </w:r>
          </w:p>
        </w:tc>
        <w:tc>
          <w:tcPr>
            <w:tcW w:w="4165" w:type="dxa"/>
            <w:gridSpan w:val="3"/>
            <w:noWrap/>
            <w:vAlign w:val="center"/>
          </w:tcPr>
          <w:p>
            <w:pPr>
              <w:jc w:val="center"/>
              <w:rPr>
                <w:rFonts w:ascii="Batang" w:hAnsi="Batang"/>
                <w:b/>
                <w:sz w:val="28"/>
                <w:szCs w:val="28"/>
              </w:rPr>
            </w:pPr>
            <w:r>
              <w:rPr>
                <w:rFonts w:hint="eastAsia" w:ascii="Batang" w:hAnsi="Batang"/>
                <w:b/>
                <w:sz w:val="28"/>
                <w:szCs w:val="28"/>
              </w:rPr>
              <w:t>税费（</w:t>
            </w:r>
            <w:r>
              <w:rPr>
                <w:rFonts w:hint="eastAsia" w:asciiTheme="minorEastAsia" w:hAnsiTheme="minorEastAsia" w:eastAsiaTheme="minorEastAsia" w:cstheme="minorEastAsia"/>
                <w:b/>
                <w:sz w:val="28"/>
                <w:szCs w:val="28"/>
              </w:rPr>
              <w:t>增值税专用发票，6%</w:t>
            </w:r>
            <w:r>
              <w:rPr>
                <w:rFonts w:hint="eastAsia" w:ascii="Batang" w:hAnsi="Batang"/>
                <w:b/>
                <w:sz w:val="28"/>
                <w:szCs w:val="28"/>
              </w:rPr>
              <w:t>）</w:t>
            </w:r>
          </w:p>
        </w:tc>
        <w:tc>
          <w:tcPr>
            <w:tcW w:w="4552" w:type="dxa"/>
            <w:gridSpan w:val="4"/>
            <w:noWrap/>
            <w:vAlign w:val="center"/>
          </w:tcPr>
          <w:p>
            <w:pPr>
              <w:jc w:val="center"/>
              <w:rPr>
                <w:rFonts w:ascii="Batang" w:hAnsi="Batang"/>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642" w:type="dxa"/>
            <w:noWrap/>
            <w:vAlign w:val="center"/>
          </w:tcPr>
          <w:p>
            <w:pPr>
              <w:jc w:val="center"/>
              <w:rPr>
                <w:rFonts w:ascii="宋体" w:hAnsi="宋体" w:cs="宋体"/>
                <w:sz w:val="24"/>
              </w:rPr>
            </w:pPr>
            <w:r>
              <w:rPr>
                <w:rFonts w:hint="eastAsia" w:ascii="宋体" w:hAnsi="宋体" w:cs="宋体"/>
                <w:sz w:val="24"/>
              </w:rPr>
              <w:t>9</w:t>
            </w:r>
          </w:p>
        </w:tc>
        <w:tc>
          <w:tcPr>
            <w:tcW w:w="4165" w:type="dxa"/>
            <w:gridSpan w:val="3"/>
            <w:noWrap/>
            <w:vAlign w:val="center"/>
          </w:tcPr>
          <w:p>
            <w:pPr>
              <w:jc w:val="center"/>
              <w:rPr>
                <w:rFonts w:ascii="Batang" w:hAnsi="Batang"/>
                <w:b/>
                <w:sz w:val="28"/>
                <w:szCs w:val="28"/>
              </w:rPr>
            </w:pPr>
            <w:r>
              <w:rPr>
                <w:rFonts w:hint="eastAsia" w:ascii="Batang" w:hAnsi="Batang"/>
                <w:b/>
                <w:sz w:val="28"/>
                <w:szCs w:val="28"/>
              </w:rPr>
              <w:t>合计</w:t>
            </w:r>
          </w:p>
        </w:tc>
        <w:tc>
          <w:tcPr>
            <w:tcW w:w="4552" w:type="dxa"/>
            <w:gridSpan w:val="4"/>
            <w:noWrap/>
            <w:vAlign w:val="center"/>
          </w:tcPr>
          <w:p>
            <w:pPr>
              <w:jc w:val="center"/>
              <w:rPr>
                <w:rFonts w:ascii="Batang" w:hAnsi="Batang"/>
                <w:b/>
                <w:sz w:val="28"/>
                <w:szCs w:val="28"/>
              </w:rPr>
            </w:pPr>
            <w:r>
              <w:rPr>
                <w:rFonts w:hint="eastAsia" w:ascii="Batang" w:hAnsi="Batang"/>
                <w:b/>
                <w:sz w:val="28"/>
                <w:szCs w:val="28"/>
                <w:u w:val="single"/>
              </w:rPr>
              <w:t xml:space="preserve">                         </w:t>
            </w:r>
            <w:r>
              <w:rPr>
                <w:rFonts w:hint="eastAsia" w:ascii="Batang" w:hAnsi="Batang"/>
                <w:b/>
                <w:sz w:val="28"/>
                <w:szCs w:val="28"/>
              </w:rPr>
              <w:t>元</w:t>
            </w:r>
          </w:p>
        </w:tc>
      </w:tr>
    </w:tbl>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sectPr>
          <w:pgSz w:w="11906" w:h="16838"/>
          <w:pgMar w:top="1134" w:right="1134" w:bottom="1134" w:left="1134" w:header="851" w:footer="992" w:gutter="0"/>
          <w:pgNumType w:start="1"/>
          <w:cols w:space="720" w:num="1"/>
          <w:docGrid w:type="lines" w:linePitch="312" w:charSpace="0"/>
        </w:sectPr>
      </w:pPr>
    </w:p>
    <w:tbl>
      <w:tblPr>
        <w:tblStyle w:val="9"/>
        <w:tblW w:w="15401" w:type="dxa"/>
        <w:tblInd w:w="-448" w:type="dxa"/>
        <w:tblLayout w:type="fixed"/>
        <w:tblCellMar>
          <w:top w:w="0" w:type="dxa"/>
          <w:left w:w="108" w:type="dxa"/>
          <w:bottom w:w="0" w:type="dxa"/>
          <w:right w:w="108" w:type="dxa"/>
        </w:tblCellMar>
      </w:tblPr>
      <w:tblGrid>
        <w:gridCol w:w="683"/>
        <w:gridCol w:w="573"/>
        <w:gridCol w:w="2047"/>
        <w:gridCol w:w="996"/>
        <w:gridCol w:w="891"/>
        <w:gridCol w:w="952"/>
        <w:gridCol w:w="1555"/>
        <w:gridCol w:w="846"/>
        <w:gridCol w:w="755"/>
        <w:gridCol w:w="680"/>
        <w:gridCol w:w="715"/>
        <w:gridCol w:w="1363"/>
        <w:gridCol w:w="3345"/>
      </w:tblGrid>
      <w:tr>
        <w:tblPrEx>
          <w:tblLayout w:type="fixed"/>
          <w:tblCellMar>
            <w:top w:w="0" w:type="dxa"/>
            <w:left w:w="108" w:type="dxa"/>
            <w:bottom w:w="0" w:type="dxa"/>
            <w:right w:w="108" w:type="dxa"/>
          </w:tblCellMar>
        </w:tblPrEx>
        <w:trPr>
          <w:trHeight w:val="155" w:hRule="atLeast"/>
        </w:trPr>
        <w:tc>
          <w:tcPr>
            <w:tcW w:w="15401" w:type="dxa"/>
            <w:gridSpan w:val="13"/>
            <w:tcBorders>
              <w:top w:val="single" w:color="auto" w:sz="4" w:space="0"/>
              <w:left w:val="single" w:color="auto" w:sz="4" w:space="0"/>
              <w:bottom w:val="nil"/>
              <w:right w:val="single" w:color="000000" w:sz="4" w:space="0"/>
            </w:tcBorders>
            <w:shd w:val="clear" w:color="000000" w:fill="FFFFFF"/>
          </w:tcPr>
          <w:p>
            <w:pPr>
              <w:widowControl/>
              <w:jc w:val="center"/>
              <w:rPr>
                <w:rFonts w:ascii="宋体" w:hAnsi="宋体" w:cs="宋体"/>
                <w:b/>
                <w:bCs/>
                <w:color w:val="000000"/>
                <w:kern w:val="0"/>
                <w:sz w:val="32"/>
                <w:szCs w:val="32"/>
              </w:rPr>
            </w:pPr>
            <w:r>
              <w:rPr>
                <w:rFonts w:hint="eastAsia" w:ascii="宋体" w:hAnsi="宋体" w:cs="宋体"/>
                <w:b/>
                <w:bCs/>
                <w:color w:val="000000"/>
                <w:kern w:val="0"/>
                <w:sz w:val="28"/>
                <w:szCs w:val="32"/>
              </w:rPr>
              <w:t>六、合肥百货大楼集团股份有限公司2019-2021年度电气预防性试验服务模拟数量统计表</w:t>
            </w:r>
          </w:p>
        </w:tc>
      </w:tr>
      <w:tr>
        <w:tblPrEx>
          <w:tblLayout w:type="fixed"/>
          <w:tblCellMar>
            <w:top w:w="0" w:type="dxa"/>
            <w:left w:w="108" w:type="dxa"/>
            <w:bottom w:w="0" w:type="dxa"/>
            <w:right w:w="108" w:type="dxa"/>
          </w:tblCellMar>
        </w:tblPrEx>
        <w:trPr>
          <w:trHeight w:val="701" w:hRule="atLeast"/>
        </w:trPr>
        <w:tc>
          <w:tcPr>
            <w:tcW w:w="683" w:type="dxa"/>
            <w:vMerge w:val="restart"/>
            <w:tcBorders>
              <w:top w:val="single" w:color="auto" w:sz="4" w:space="0"/>
              <w:left w:val="single" w:color="auto" w:sz="4" w:space="0"/>
              <w:right w:val="single" w:color="auto" w:sz="4" w:space="0"/>
            </w:tcBorders>
            <w:shd w:val="clear" w:color="000000" w:fill="FFFFFF"/>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序号</w:t>
            </w:r>
          </w:p>
        </w:tc>
        <w:tc>
          <w:tcPr>
            <w:tcW w:w="573" w:type="dxa"/>
            <w:vMerge w:val="restart"/>
            <w:tcBorders>
              <w:top w:val="single" w:color="auto" w:sz="4" w:space="0"/>
              <w:left w:val="single" w:color="auto" w:sz="4" w:space="0"/>
              <w:right w:val="single" w:color="auto" w:sz="4" w:space="0"/>
            </w:tcBorders>
            <w:shd w:val="clear" w:color="000000" w:fill="FFFFFF"/>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区域</w:t>
            </w:r>
          </w:p>
        </w:tc>
        <w:tc>
          <w:tcPr>
            <w:tcW w:w="2047" w:type="dxa"/>
            <w:vMerge w:val="restart"/>
            <w:tcBorders>
              <w:top w:val="single" w:color="auto" w:sz="4" w:space="0"/>
              <w:left w:val="single" w:color="auto" w:sz="4" w:space="0"/>
              <w:right w:val="single" w:color="auto" w:sz="4" w:space="0"/>
            </w:tcBorders>
            <w:shd w:val="clear" w:color="000000" w:fill="FFFFFF"/>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门店</w:t>
            </w:r>
          </w:p>
        </w:tc>
        <w:tc>
          <w:tcPr>
            <w:tcW w:w="2839" w:type="dxa"/>
            <w:gridSpan w:val="3"/>
            <w:tcBorders>
              <w:top w:val="single" w:color="auto" w:sz="4" w:space="0"/>
              <w:left w:val="single" w:color="auto" w:sz="4" w:space="0"/>
              <w:bottom w:val="single" w:color="auto" w:sz="4" w:space="0"/>
              <w:right w:val="nil"/>
            </w:tcBorders>
            <w:shd w:val="clear" w:color="000000" w:fill="FFFFFF"/>
            <w:noWrap/>
            <w:vAlign w:val="center"/>
          </w:tcPr>
          <w:p>
            <w:pPr>
              <w:jc w:val="center"/>
              <w:rPr>
                <w:rFonts w:ascii="宋体" w:hAnsi="宋体" w:cs="宋体"/>
                <w:b/>
                <w:bCs/>
                <w:kern w:val="0"/>
                <w:sz w:val="22"/>
              </w:rPr>
            </w:pPr>
            <w:r>
              <w:rPr>
                <w:rFonts w:hint="eastAsia" w:ascii="宋体" w:hAnsi="宋体" w:cs="宋体"/>
                <w:b/>
                <w:bCs/>
                <w:color w:val="000000"/>
                <w:kern w:val="0"/>
                <w:sz w:val="22"/>
              </w:rPr>
              <w:t>10KV变压器</w:t>
            </w:r>
          </w:p>
        </w:tc>
        <w:tc>
          <w:tcPr>
            <w:tcW w:w="1555" w:type="dxa"/>
            <w:vMerge w:val="restart"/>
            <w:tcBorders>
              <w:top w:val="single" w:color="auto" w:sz="4" w:space="0"/>
              <w:left w:val="single" w:color="auto" w:sz="4" w:space="0"/>
              <w:right w:val="nil"/>
            </w:tcBorders>
            <w:shd w:val="clear" w:color="000000" w:fill="FFFFFF"/>
            <w:noWrap/>
            <w:vAlign w:val="center"/>
          </w:tcPr>
          <w:p>
            <w:pPr>
              <w:jc w:val="center"/>
              <w:rPr>
                <w:rFonts w:ascii="宋体" w:hAnsi="宋体" w:cs="宋体"/>
                <w:b/>
                <w:bCs/>
                <w:color w:val="000000"/>
                <w:kern w:val="0"/>
                <w:sz w:val="22"/>
              </w:rPr>
            </w:pPr>
            <w:r>
              <w:rPr>
                <w:rFonts w:hint="eastAsia" w:ascii="宋体" w:hAnsi="宋体" w:cs="宋体"/>
                <w:b/>
                <w:bCs/>
                <w:color w:val="000000"/>
                <w:kern w:val="0"/>
                <w:sz w:val="22"/>
              </w:rPr>
              <w:t>10KV电缆</w:t>
            </w:r>
          </w:p>
          <w:p>
            <w:pPr>
              <w:jc w:val="center"/>
              <w:rPr>
                <w:rFonts w:ascii="宋体" w:hAnsi="宋体" w:cs="宋体"/>
                <w:b/>
                <w:bCs/>
                <w:color w:val="000000"/>
                <w:kern w:val="0"/>
                <w:sz w:val="22"/>
              </w:rPr>
            </w:pPr>
            <w:r>
              <w:rPr>
                <w:rFonts w:hint="eastAsia" w:ascii="宋体" w:hAnsi="宋体" w:cs="宋体"/>
                <w:b/>
                <w:bCs/>
                <w:color w:val="000000"/>
                <w:kern w:val="0"/>
                <w:sz w:val="22"/>
              </w:rPr>
              <w:t>YJV22-10-3*400/120/95/50</w:t>
            </w:r>
          </w:p>
          <w:p>
            <w:pPr>
              <w:jc w:val="center"/>
              <w:rPr>
                <w:rFonts w:ascii="宋体" w:hAnsi="宋体" w:cs="宋体"/>
                <w:b/>
                <w:bCs/>
                <w:color w:val="000000"/>
                <w:kern w:val="0"/>
                <w:sz w:val="22"/>
              </w:rPr>
            </w:pPr>
            <w:r>
              <w:rPr>
                <w:rFonts w:hint="eastAsia" w:ascii="宋体" w:hAnsi="宋体" w:cs="宋体"/>
                <w:b/>
                <w:bCs/>
                <w:color w:val="000000"/>
                <w:kern w:val="0"/>
                <w:sz w:val="22"/>
              </w:rPr>
              <w:t>YJV-10-3*95</w:t>
            </w:r>
          </w:p>
        </w:tc>
        <w:tc>
          <w:tcPr>
            <w:tcW w:w="846" w:type="dxa"/>
            <w:vMerge w:val="restart"/>
            <w:tcBorders>
              <w:top w:val="single" w:color="auto" w:sz="4" w:space="0"/>
              <w:left w:val="single" w:color="auto" w:sz="4" w:space="0"/>
              <w:right w:val="nil"/>
            </w:tcBorders>
            <w:shd w:val="clear" w:color="000000" w:fill="FFFFFF"/>
            <w:vAlign w:val="center"/>
          </w:tcPr>
          <w:p>
            <w:pPr>
              <w:widowControl/>
              <w:jc w:val="center"/>
              <w:rPr>
                <w:rFonts w:ascii="宋体" w:hAnsi="宋体" w:cs="宋体"/>
                <w:b/>
                <w:bCs/>
                <w:kern w:val="0"/>
                <w:sz w:val="22"/>
              </w:rPr>
            </w:pPr>
            <w:r>
              <w:rPr>
                <w:rFonts w:hint="eastAsia" w:ascii="宋体" w:hAnsi="宋体" w:cs="宋体"/>
                <w:b/>
                <w:bCs/>
                <w:kern w:val="0"/>
                <w:sz w:val="22"/>
              </w:rPr>
              <w:t>高压成套柜</w:t>
            </w:r>
          </w:p>
        </w:tc>
        <w:tc>
          <w:tcPr>
            <w:tcW w:w="755" w:type="dxa"/>
            <w:vMerge w:val="restart"/>
            <w:tcBorders>
              <w:top w:val="single" w:color="auto" w:sz="4" w:space="0"/>
              <w:left w:val="single" w:color="auto" w:sz="4" w:space="0"/>
              <w:right w:val="single" w:color="auto" w:sz="4" w:space="0"/>
            </w:tcBorders>
            <w:shd w:val="clear" w:color="000000" w:fill="FFFFFF"/>
            <w:noWrap/>
            <w:vAlign w:val="center"/>
          </w:tcPr>
          <w:p>
            <w:pPr>
              <w:widowControl/>
              <w:jc w:val="center"/>
              <w:rPr>
                <w:rFonts w:ascii="宋体" w:hAnsi="宋体" w:cs="宋体"/>
                <w:b/>
                <w:bCs/>
                <w:kern w:val="0"/>
                <w:sz w:val="22"/>
              </w:rPr>
            </w:pPr>
            <w:r>
              <w:rPr>
                <w:rFonts w:hint="eastAsia" w:ascii="宋体" w:hAnsi="宋体" w:cs="宋体"/>
                <w:b/>
                <w:bCs/>
                <w:kern w:val="0"/>
                <w:sz w:val="22"/>
              </w:rPr>
              <w:t>高压母线</w:t>
            </w:r>
          </w:p>
        </w:tc>
        <w:tc>
          <w:tcPr>
            <w:tcW w:w="680" w:type="dxa"/>
            <w:vMerge w:val="restart"/>
            <w:tcBorders>
              <w:top w:val="single" w:color="auto" w:sz="4" w:space="0"/>
              <w:left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低压母线</w:t>
            </w:r>
          </w:p>
        </w:tc>
        <w:tc>
          <w:tcPr>
            <w:tcW w:w="715" w:type="dxa"/>
            <w:vMerge w:val="restart"/>
            <w:tcBorders>
              <w:top w:val="single" w:color="auto" w:sz="4" w:space="0"/>
              <w:left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接地电阻</w:t>
            </w:r>
          </w:p>
        </w:tc>
        <w:tc>
          <w:tcPr>
            <w:tcW w:w="1363" w:type="dxa"/>
            <w:vMerge w:val="restart"/>
            <w:tcBorders>
              <w:top w:val="single" w:color="auto" w:sz="4" w:space="0"/>
              <w:left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安全</w:t>
            </w:r>
          </w:p>
          <w:p>
            <w:pPr>
              <w:widowControl/>
              <w:jc w:val="center"/>
              <w:rPr>
                <w:rFonts w:ascii="宋体" w:hAnsi="宋体" w:cs="宋体"/>
                <w:b/>
                <w:bCs/>
                <w:color w:val="000000"/>
                <w:kern w:val="0"/>
                <w:sz w:val="22"/>
              </w:rPr>
            </w:pPr>
            <w:r>
              <w:rPr>
                <w:rFonts w:hint="eastAsia" w:ascii="宋体" w:hAnsi="宋体" w:cs="宋体"/>
                <w:b/>
                <w:bCs/>
                <w:color w:val="000000"/>
                <w:kern w:val="0"/>
                <w:sz w:val="22"/>
              </w:rPr>
              <w:t>工器具</w:t>
            </w:r>
          </w:p>
        </w:tc>
        <w:tc>
          <w:tcPr>
            <w:tcW w:w="3345" w:type="dxa"/>
            <w:vMerge w:val="restart"/>
            <w:tcBorders>
              <w:top w:val="single" w:color="auto" w:sz="4" w:space="0"/>
              <w:left w:val="single" w:color="auto" w:sz="4" w:space="0"/>
              <w:right w:val="single" w:color="auto" w:sz="4" w:space="0"/>
            </w:tcBorders>
            <w:shd w:val="clear" w:color="000000" w:fill="FFFFFF"/>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地址</w:t>
            </w:r>
          </w:p>
        </w:tc>
      </w:tr>
      <w:tr>
        <w:tblPrEx>
          <w:tblLayout w:type="fixed"/>
          <w:tblCellMar>
            <w:top w:w="0" w:type="dxa"/>
            <w:left w:w="108" w:type="dxa"/>
            <w:bottom w:w="0" w:type="dxa"/>
            <w:right w:w="108" w:type="dxa"/>
          </w:tblCellMar>
        </w:tblPrEx>
        <w:trPr>
          <w:trHeight w:val="914" w:hRule="atLeast"/>
        </w:trPr>
        <w:tc>
          <w:tcPr>
            <w:tcW w:w="683" w:type="dxa"/>
            <w:vMerge w:val="continue"/>
            <w:tcBorders>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color w:val="000000"/>
                <w:kern w:val="0"/>
                <w:sz w:val="22"/>
              </w:rPr>
            </w:pPr>
          </w:p>
        </w:tc>
        <w:tc>
          <w:tcPr>
            <w:tcW w:w="573" w:type="dxa"/>
            <w:vMerge w:val="continue"/>
            <w:tcBorders>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color w:val="000000"/>
                <w:kern w:val="0"/>
                <w:sz w:val="22"/>
              </w:rPr>
            </w:pPr>
          </w:p>
        </w:tc>
        <w:tc>
          <w:tcPr>
            <w:tcW w:w="2047" w:type="dxa"/>
            <w:vMerge w:val="continue"/>
            <w:tcBorders>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color w:val="000000"/>
                <w:kern w:val="0"/>
                <w:sz w:val="22"/>
              </w:rPr>
            </w:pPr>
          </w:p>
        </w:tc>
        <w:tc>
          <w:tcPr>
            <w:tcW w:w="996"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jc w:val="center"/>
              <w:rPr>
                <w:rFonts w:ascii="宋体" w:hAnsi="宋体" w:cs="宋体"/>
                <w:b/>
                <w:bCs/>
                <w:color w:val="000000"/>
                <w:kern w:val="0"/>
                <w:sz w:val="22"/>
              </w:rPr>
            </w:pPr>
            <w:r>
              <w:rPr>
                <w:rFonts w:hint="eastAsia" w:ascii="宋体" w:hAnsi="宋体" w:cs="宋体"/>
                <w:b/>
                <w:bCs/>
                <w:color w:val="000000"/>
                <w:kern w:val="0"/>
                <w:sz w:val="22"/>
              </w:rPr>
              <w:t>1000KVA及以下</w:t>
            </w:r>
          </w:p>
        </w:tc>
        <w:tc>
          <w:tcPr>
            <w:tcW w:w="891" w:type="dxa"/>
            <w:tcBorders>
              <w:top w:val="single" w:color="auto" w:sz="4" w:space="0"/>
              <w:left w:val="nil"/>
              <w:bottom w:val="single" w:color="auto" w:sz="4" w:space="0"/>
              <w:right w:val="single" w:color="000000" w:sz="4" w:space="0"/>
            </w:tcBorders>
            <w:shd w:val="clear" w:color="000000" w:fill="FFFFFF"/>
            <w:vAlign w:val="center"/>
          </w:tcPr>
          <w:p>
            <w:pPr>
              <w:jc w:val="center"/>
              <w:rPr>
                <w:rFonts w:ascii="宋体" w:hAnsi="宋体" w:cs="宋体"/>
                <w:b/>
                <w:bCs/>
                <w:color w:val="000000"/>
                <w:kern w:val="0"/>
                <w:sz w:val="22"/>
              </w:rPr>
            </w:pPr>
            <w:r>
              <w:rPr>
                <w:rFonts w:ascii="宋体" w:hAnsi="宋体" w:cs="宋体"/>
                <w:b/>
                <w:bCs/>
                <w:color w:val="000000"/>
                <w:kern w:val="0"/>
                <w:sz w:val="22"/>
              </w:rPr>
              <w:t>1250</w:t>
            </w:r>
          </w:p>
          <w:p>
            <w:pPr>
              <w:jc w:val="center"/>
              <w:rPr>
                <w:rFonts w:ascii="宋体" w:hAnsi="宋体" w:cs="宋体"/>
                <w:b/>
                <w:bCs/>
                <w:color w:val="000000"/>
                <w:kern w:val="0"/>
                <w:sz w:val="22"/>
              </w:rPr>
            </w:pPr>
            <w:r>
              <w:rPr>
                <w:rFonts w:ascii="宋体" w:hAnsi="宋体" w:cs="宋体"/>
                <w:b/>
                <w:bCs/>
                <w:color w:val="000000"/>
                <w:kern w:val="0"/>
                <w:sz w:val="22"/>
              </w:rPr>
              <w:t>KVA</w:t>
            </w:r>
          </w:p>
        </w:tc>
        <w:tc>
          <w:tcPr>
            <w:tcW w:w="952" w:type="dxa"/>
            <w:tcBorders>
              <w:top w:val="single" w:color="auto" w:sz="4" w:space="0"/>
              <w:left w:val="nil"/>
              <w:bottom w:val="single" w:color="auto" w:sz="4" w:space="0"/>
              <w:right w:val="nil"/>
            </w:tcBorders>
            <w:shd w:val="clear" w:color="000000" w:fill="FFFFFF"/>
            <w:noWrap/>
            <w:vAlign w:val="center"/>
          </w:tcPr>
          <w:p>
            <w:pPr>
              <w:jc w:val="center"/>
              <w:rPr>
                <w:rFonts w:ascii="宋体" w:hAnsi="宋体" w:cs="宋体"/>
                <w:b/>
                <w:bCs/>
                <w:color w:val="000000"/>
                <w:kern w:val="0"/>
                <w:sz w:val="22"/>
              </w:rPr>
            </w:pPr>
            <w:r>
              <w:rPr>
                <w:rFonts w:ascii="宋体" w:hAnsi="宋体" w:cs="宋体"/>
                <w:b/>
                <w:bCs/>
                <w:color w:val="000000"/>
                <w:kern w:val="0"/>
                <w:sz w:val="22"/>
              </w:rPr>
              <w:t>2500</w:t>
            </w:r>
          </w:p>
          <w:p>
            <w:pPr>
              <w:jc w:val="center"/>
              <w:rPr>
                <w:rFonts w:ascii="宋体" w:hAnsi="宋体" w:cs="宋体"/>
                <w:b/>
                <w:bCs/>
                <w:color w:val="000000"/>
                <w:kern w:val="0"/>
                <w:sz w:val="22"/>
              </w:rPr>
            </w:pPr>
            <w:r>
              <w:rPr>
                <w:rFonts w:ascii="宋体" w:hAnsi="宋体" w:cs="宋体"/>
                <w:b/>
                <w:bCs/>
                <w:color w:val="000000"/>
                <w:kern w:val="0"/>
                <w:sz w:val="22"/>
              </w:rPr>
              <w:t>KVA</w:t>
            </w:r>
          </w:p>
        </w:tc>
        <w:tc>
          <w:tcPr>
            <w:tcW w:w="1555" w:type="dxa"/>
            <w:vMerge w:val="continue"/>
            <w:tcBorders>
              <w:left w:val="single" w:color="auto" w:sz="4" w:space="0"/>
              <w:bottom w:val="single" w:color="auto" w:sz="4" w:space="0"/>
              <w:right w:val="nil"/>
            </w:tcBorders>
            <w:shd w:val="clear" w:color="000000" w:fill="FFFFFF"/>
            <w:noWrap/>
            <w:vAlign w:val="center"/>
          </w:tcPr>
          <w:p>
            <w:pPr>
              <w:jc w:val="center"/>
              <w:rPr>
                <w:rFonts w:ascii="宋体" w:hAnsi="宋体" w:cs="宋体"/>
                <w:b/>
                <w:bCs/>
                <w:color w:val="000000"/>
                <w:kern w:val="0"/>
                <w:sz w:val="22"/>
              </w:rPr>
            </w:pPr>
          </w:p>
        </w:tc>
        <w:tc>
          <w:tcPr>
            <w:tcW w:w="846" w:type="dxa"/>
            <w:vMerge w:val="continue"/>
            <w:tcBorders>
              <w:left w:val="single" w:color="auto" w:sz="4" w:space="0"/>
              <w:bottom w:val="single" w:color="auto" w:sz="4" w:space="0"/>
              <w:right w:val="nil"/>
            </w:tcBorders>
            <w:shd w:val="clear" w:color="000000" w:fill="FFFFFF"/>
            <w:vAlign w:val="center"/>
          </w:tcPr>
          <w:p>
            <w:pPr>
              <w:widowControl/>
              <w:jc w:val="center"/>
              <w:rPr>
                <w:rFonts w:ascii="宋体" w:hAnsi="宋体" w:cs="宋体"/>
                <w:b/>
                <w:bCs/>
                <w:kern w:val="0"/>
                <w:sz w:val="22"/>
              </w:rPr>
            </w:pPr>
          </w:p>
        </w:tc>
        <w:tc>
          <w:tcPr>
            <w:tcW w:w="755" w:type="dxa"/>
            <w:vMerge w:val="continue"/>
            <w:tcBorders>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22"/>
              </w:rPr>
            </w:pPr>
          </w:p>
        </w:tc>
        <w:tc>
          <w:tcPr>
            <w:tcW w:w="680" w:type="dxa"/>
            <w:vMerge w:val="continue"/>
            <w:tcBorders>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p>
        </w:tc>
        <w:tc>
          <w:tcPr>
            <w:tcW w:w="715" w:type="dxa"/>
            <w:vMerge w:val="continue"/>
            <w:tcBorders>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p>
        </w:tc>
        <w:tc>
          <w:tcPr>
            <w:tcW w:w="1363" w:type="dxa"/>
            <w:vMerge w:val="continue"/>
            <w:tcBorders>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p>
        </w:tc>
        <w:tc>
          <w:tcPr>
            <w:tcW w:w="3345" w:type="dxa"/>
            <w:vMerge w:val="continue"/>
            <w:tcBorders>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color w:val="000000"/>
                <w:kern w:val="0"/>
                <w:sz w:val="22"/>
              </w:rPr>
            </w:pPr>
          </w:p>
        </w:tc>
      </w:tr>
      <w:tr>
        <w:tblPrEx>
          <w:tblLayout w:type="fixed"/>
          <w:tblCellMar>
            <w:top w:w="0" w:type="dxa"/>
            <w:left w:w="108" w:type="dxa"/>
            <w:bottom w:w="0" w:type="dxa"/>
            <w:right w:w="108" w:type="dxa"/>
          </w:tblCellMar>
        </w:tblPrEx>
        <w:trPr>
          <w:trHeight w:val="340" w:hRule="atLeast"/>
        </w:trPr>
        <w:tc>
          <w:tcPr>
            <w:tcW w:w="683"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573" w:type="dxa"/>
            <w:vMerge w:val="restart"/>
            <w:tcBorders>
              <w:top w:val="nil"/>
              <w:left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合</w:t>
            </w:r>
          </w:p>
          <w:p>
            <w:pPr>
              <w:widowControl/>
              <w:jc w:val="center"/>
              <w:rPr>
                <w:rFonts w:ascii="宋体" w:hAnsi="宋体" w:cs="宋体"/>
                <w:color w:val="000000"/>
                <w:kern w:val="0"/>
                <w:sz w:val="24"/>
              </w:rPr>
            </w:pPr>
            <w:r>
              <w:rPr>
                <w:rFonts w:hint="eastAsia" w:ascii="宋体" w:hAnsi="宋体" w:cs="宋体"/>
                <w:color w:val="000000"/>
                <w:kern w:val="0"/>
                <w:sz w:val="24"/>
              </w:rPr>
              <w:t>肥</w:t>
            </w:r>
          </w:p>
        </w:tc>
        <w:tc>
          <w:tcPr>
            <w:tcW w:w="204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百货大楼</w:t>
            </w:r>
          </w:p>
        </w:tc>
        <w:tc>
          <w:tcPr>
            <w:tcW w:w="99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891"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c>
          <w:tcPr>
            <w:tcW w:w="952" w:type="dxa"/>
            <w:tcBorders>
              <w:top w:val="single" w:color="auto" w:sz="4" w:space="0"/>
              <w:left w:val="nil"/>
              <w:bottom w:val="single" w:color="auto" w:sz="4" w:space="0"/>
              <w:right w:val="nil"/>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0</w:t>
            </w:r>
          </w:p>
        </w:tc>
        <w:tc>
          <w:tcPr>
            <w:tcW w:w="1555" w:type="dxa"/>
            <w:tcBorders>
              <w:top w:val="single" w:color="auto" w:sz="4" w:space="0"/>
              <w:left w:val="single" w:color="auto" w:sz="4" w:space="0"/>
              <w:bottom w:val="single" w:color="auto" w:sz="4" w:space="0"/>
              <w:right w:val="nil"/>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4</w:t>
            </w:r>
          </w:p>
        </w:tc>
        <w:tc>
          <w:tcPr>
            <w:tcW w:w="846" w:type="dxa"/>
            <w:tcBorders>
              <w:top w:val="single" w:color="auto" w:sz="4" w:space="0"/>
              <w:left w:val="single" w:color="auto" w:sz="4" w:space="0"/>
              <w:bottom w:val="single" w:color="auto" w:sz="4" w:space="0"/>
              <w:right w:val="nil"/>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6</w:t>
            </w:r>
          </w:p>
        </w:tc>
        <w:tc>
          <w:tcPr>
            <w:tcW w:w="75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68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c>
          <w:tcPr>
            <w:tcW w:w="71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136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现场确认</w:t>
            </w:r>
          </w:p>
        </w:tc>
        <w:tc>
          <w:tcPr>
            <w:tcW w:w="33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长江中路150号</w:t>
            </w:r>
          </w:p>
        </w:tc>
      </w:tr>
      <w:tr>
        <w:tblPrEx>
          <w:tblLayout w:type="fixed"/>
          <w:tblCellMar>
            <w:top w:w="0" w:type="dxa"/>
            <w:left w:w="108" w:type="dxa"/>
            <w:bottom w:w="0" w:type="dxa"/>
            <w:right w:w="108" w:type="dxa"/>
          </w:tblCellMar>
        </w:tblPrEx>
        <w:trPr>
          <w:trHeight w:val="340" w:hRule="atLeast"/>
        </w:trPr>
        <w:tc>
          <w:tcPr>
            <w:tcW w:w="683"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573"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204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鼓楼金座</w:t>
            </w:r>
          </w:p>
        </w:tc>
        <w:tc>
          <w:tcPr>
            <w:tcW w:w="99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7</w:t>
            </w:r>
          </w:p>
        </w:tc>
        <w:tc>
          <w:tcPr>
            <w:tcW w:w="8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c>
          <w:tcPr>
            <w:tcW w:w="952" w:type="dxa"/>
            <w:tcBorders>
              <w:top w:val="nil"/>
              <w:left w:val="nil"/>
              <w:bottom w:val="single" w:color="auto" w:sz="4" w:space="0"/>
              <w:right w:val="nil"/>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0</w:t>
            </w:r>
          </w:p>
        </w:tc>
        <w:tc>
          <w:tcPr>
            <w:tcW w:w="1555" w:type="dxa"/>
            <w:tcBorders>
              <w:top w:val="nil"/>
              <w:left w:val="single" w:color="auto" w:sz="4" w:space="0"/>
              <w:bottom w:val="single" w:color="auto" w:sz="4" w:space="0"/>
              <w:right w:val="nil"/>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7</w:t>
            </w:r>
          </w:p>
        </w:tc>
        <w:tc>
          <w:tcPr>
            <w:tcW w:w="846" w:type="dxa"/>
            <w:tcBorders>
              <w:top w:val="nil"/>
              <w:left w:val="single" w:color="auto" w:sz="4" w:space="0"/>
              <w:bottom w:val="single" w:color="auto" w:sz="4" w:space="0"/>
              <w:right w:val="nil"/>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11</w:t>
            </w:r>
          </w:p>
        </w:tc>
        <w:tc>
          <w:tcPr>
            <w:tcW w:w="75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2</w:t>
            </w:r>
          </w:p>
        </w:tc>
        <w:tc>
          <w:tcPr>
            <w:tcW w:w="68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c>
          <w:tcPr>
            <w:tcW w:w="71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136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3套</w:t>
            </w:r>
          </w:p>
        </w:tc>
        <w:tc>
          <w:tcPr>
            <w:tcW w:w="334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庐阳区宿州路96号</w:t>
            </w:r>
          </w:p>
        </w:tc>
      </w:tr>
      <w:tr>
        <w:tblPrEx>
          <w:tblLayout w:type="fixed"/>
          <w:tblCellMar>
            <w:top w:w="0" w:type="dxa"/>
            <w:left w:w="108" w:type="dxa"/>
            <w:bottom w:w="0" w:type="dxa"/>
            <w:right w:w="108" w:type="dxa"/>
          </w:tblCellMar>
        </w:tblPrEx>
        <w:trPr>
          <w:trHeight w:val="340" w:hRule="atLeast"/>
        </w:trPr>
        <w:tc>
          <w:tcPr>
            <w:tcW w:w="683"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573"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204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商业大厦</w:t>
            </w:r>
          </w:p>
        </w:tc>
        <w:tc>
          <w:tcPr>
            <w:tcW w:w="99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8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952" w:type="dxa"/>
            <w:tcBorders>
              <w:top w:val="nil"/>
              <w:left w:val="nil"/>
              <w:bottom w:val="single" w:color="auto" w:sz="4" w:space="0"/>
              <w:right w:val="nil"/>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0</w:t>
            </w:r>
          </w:p>
        </w:tc>
        <w:tc>
          <w:tcPr>
            <w:tcW w:w="1555" w:type="dxa"/>
            <w:tcBorders>
              <w:top w:val="nil"/>
              <w:left w:val="single" w:color="auto" w:sz="4" w:space="0"/>
              <w:bottom w:val="single" w:color="auto" w:sz="4" w:space="0"/>
              <w:right w:val="nil"/>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3</w:t>
            </w:r>
          </w:p>
        </w:tc>
        <w:tc>
          <w:tcPr>
            <w:tcW w:w="846" w:type="dxa"/>
            <w:tcBorders>
              <w:top w:val="nil"/>
              <w:left w:val="single" w:color="auto" w:sz="4" w:space="0"/>
              <w:bottom w:val="single" w:color="auto" w:sz="4" w:space="0"/>
              <w:right w:val="nil"/>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12</w:t>
            </w:r>
          </w:p>
        </w:tc>
        <w:tc>
          <w:tcPr>
            <w:tcW w:w="75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68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71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36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现场确认</w:t>
            </w:r>
          </w:p>
        </w:tc>
        <w:tc>
          <w:tcPr>
            <w:tcW w:w="334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金寨南路1168号</w:t>
            </w:r>
          </w:p>
        </w:tc>
      </w:tr>
      <w:tr>
        <w:tblPrEx>
          <w:tblLayout w:type="fixed"/>
          <w:tblCellMar>
            <w:top w:w="0" w:type="dxa"/>
            <w:left w:w="108" w:type="dxa"/>
            <w:bottom w:w="0" w:type="dxa"/>
            <w:right w:w="108" w:type="dxa"/>
          </w:tblCellMar>
        </w:tblPrEx>
        <w:trPr>
          <w:trHeight w:val="340" w:hRule="atLeast"/>
        </w:trPr>
        <w:tc>
          <w:tcPr>
            <w:tcW w:w="683"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573"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204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百大港汇</w:t>
            </w:r>
          </w:p>
        </w:tc>
        <w:tc>
          <w:tcPr>
            <w:tcW w:w="99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c>
          <w:tcPr>
            <w:tcW w:w="8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952" w:type="dxa"/>
            <w:tcBorders>
              <w:top w:val="nil"/>
              <w:left w:val="nil"/>
              <w:bottom w:val="single" w:color="auto" w:sz="4" w:space="0"/>
              <w:right w:val="nil"/>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2</w:t>
            </w:r>
          </w:p>
        </w:tc>
        <w:tc>
          <w:tcPr>
            <w:tcW w:w="1555" w:type="dxa"/>
            <w:tcBorders>
              <w:top w:val="nil"/>
              <w:left w:val="single" w:color="auto" w:sz="4" w:space="0"/>
              <w:bottom w:val="single" w:color="auto" w:sz="4" w:space="0"/>
              <w:right w:val="nil"/>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0</w:t>
            </w:r>
          </w:p>
        </w:tc>
        <w:tc>
          <w:tcPr>
            <w:tcW w:w="846" w:type="dxa"/>
            <w:tcBorders>
              <w:top w:val="nil"/>
              <w:left w:val="single" w:color="auto" w:sz="4" w:space="0"/>
              <w:bottom w:val="single" w:color="auto" w:sz="4" w:space="0"/>
              <w:right w:val="nil"/>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10</w:t>
            </w:r>
          </w:p>
        </w:tc>
        <w:tc>
          <w:tcPr>
            <w:tcW w:w="75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0</w:t>
            </w:r>
          </w:p>
        </w:tc>
        <w:tc>
          <w:tcPr>
            <w:tcW w:w="68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c>
          <w:tcPr>
            <w:tcW w:w="71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36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1套</w:t>
            </w:r>
          </w:p>
        </w:tc>
        <w:tc>
          <w:tcPr>
            <w:tcW w:w="33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望江西路218号</w:t>
            </w:r>
          </w:p>
        </w:tc>
      </w:tr>
      <w:tr>
        <w:tblPrEx>
          <w:tblLayout w:type="fixed"/>
          <w:tblCellMar>
            <w:top w:w="0" w:type="dxa"/>
            <w:left w:w="108" w:type="dxa"/>
            <w:bottom w:w="0" w:type="dxa"/>
            <w:right w:w="108" w:type="dxa"/>
          </w:tblCellMar>
        </w:tblPrEx>
        <w:trPr>
          <w:trHeight w:val="340" w:hRule="atLeast"/>
        </w:trPr>
        <w:tc>
          <w:tcPr>
            <w:tcW w:w="683"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573"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204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肥西百大</w:t>
            </w:r>
          </w:p>
        </w:tc>
        <w:tc>
          <w:tcPr>
            <w:tcW w:w="99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8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952" w:type="dxa"/>
            <w:tcBorders>
              <w:top w:val="nil"/>
              <w:left w:val="nil"/>
              <w:bottom w:val="single" w:color="auto" w:sz="4" w:space="0"/>
              <w:right w:val="nil"/>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0</w:t>
            </w:r>
          </w:p>
        </w:tc>
        <w:tc>
          <w:tcPr>
            <w:tcW w:w="1555" w:type="dxa"/>
            <w:tcBorders>
              <w:top w:val="nil"/>
              <w:left w:val="single" w:color="auto" w:sz="4" w:space="0"/>
              <w:bottom w:val="single" w:color="auto" w:sz="4" w:space="0"/>
              <w:right w:val="nil"/>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5</w:t>
            </w:r>
          </w:p>
        </w:tc>
        <w:tc>
          <w:tcPr>
            <w:tcW w:w="846" w:type="dxa"/>
            <w:tcBorders>
              <w:top w:val="nil"/>
              <w:left w:val="single" w:color="auto" w:sz="4" w:space="0"/>
              <w:bottom w:val="single" w:color="auto" w:sz="4" w:space="0"/>
              <w:right w:val="nil"/>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15</w:t>
            </w:r>
          </w:p>
        </w:tc>
        <w:tc>
          <w:tcPr>
            <w:tcW w:w="75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68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71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363" w:type="dxa"/>
            <w:vMerge w:val="restart"/>
            <w:tcBorders>
              <w:top w:val="single" w:color="auto" w:sz="4" w:space="0"/>
              <w:left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现场确认</w:t>
            </w:r>
          </w:p>
          <w:p>
            <w:pPr>
              <w:widowControl/>
              <w:jc w:val="center"/>
              <w:rPr>
                <w:rFonts w:ascii="宋体" w:hAnsi="宋体" w:cs="宋体"/>
                <w:color w:val="000000"/>
                <w:kern w:val="0"/>
                <w:sz w:val="24"/>
              </w:rPr>
            </w:pPr>
          </w:p>
        </w:tc>
        <w:tc>
          <w:tcPr>
            <w:tcW w:w="33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巢湖路与派河大道西南交口</w:t>
            </w:r>
          </w:p>
        </w:tc>
      </w:tr>
      <w:tr>
        <w:tblPrEx>
          <w:tblLayout w:type="fixed"/>
          <w:tblCellMar>
            <w:top w:w="0" w:type="dxa"/>
            <w:left w:w="108" w:type="dxa"/>
            <w:bottom w:w="0" w:type="dxa"/>
            <w:right w:w="108" w:type="dxa"/>
          </w:tblCellMar>
        </w:tblPrEx>
        <w:trPr>
          <w:trHeight w:val="340" w:hRule="atLeast"/>
        </w:trPr>
        <w:tc>
          <w:tcPr>
            <w:tcW w:w="683"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6</w:t>
            </w:r>
          </w:p>
        </w:tc>
        <w:tc>
          <w:tcPr>
            <w:tcW w:w="573"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204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合家福卫岗店</w:t>
            </w:r>
          </w:p>
        </w:tc>
        <w:tc>
          <w:tcPr>
            <w:tcW w:w="99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8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c>
          <w:tcPr>
            <w:tcW w:w="952" w:type="dxa"/>
            <w:tcBorders>
              <w:top w:val="nil"/>
              <w:left w:val="nil"/>
              <w:bottom w:val="single" w:color="auto" w:sz="4" w:space="0"/>
              <w:right w:val="nil"/>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0</w:t>
            </w:r>
          </w:p>
        </w:tc>
        <w:tc>
          <w:tcPr>
            <w:tcW w:w="1555" w:type="dxa"/>
            <w:tcBorders>
              <w:top w:val="nil"/>
              <w:left w:val="single" w:color="auto" w:sz="4" w:space="0"/>
              <w:bottom w:val="single" w:color="auto" w:sz="4" w:space="0"/>
              <w:right w:val="nil"/>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846" w:type="dxa"/>
            <w:tcBorders>
              <w:top w:val="nil"/>
              <w:left w:val="single" w:color="auto" w:sz="4" w:space="0"/>
              <w:bottom w:val="single" w:color="auto" w:sz="4" w:space="0"/>
              <w:right w:val="nil"/>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3</w:t>
            </w:r>
          </w:p>
        </w:tc>
        <w:tc>
          <w:tcPr>
            <w:tcW w:w="75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68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71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363" w:type="dxa"/>
            <w:vMerge w:val="continue"/>
            <w:tcBorders>
              <w:left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p>
        </w:tc>
        <w:tc>
          <w:tcPr>
            <w:tcW w:w="33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青年路119号</w:t>
            </w:r>
          </w:p>
        </w:tc>
      </w:tr>
      <w:tr>
        <w:tblPrEx>
          <w:tblLayout w:type="fixed"/>
          <w:tblCellMar>
            <w:top w:w="0" w:type="dxa"/>
            <w:left w:w="108" w:type="dxa"/>
            <w:bottom w:w="0" w:type="dxa"/>
            <w:right w:w="108" w:type="dxa"/>
          </w:tblCellMar>
        </w:tblPrEx>
        <w:trPr>
          <w:trHeight w:val="340" w:hRule="atLeast"/>
        </w:trPr>
        <w:tc>
          <w:tcPr>
            <w:tcW w:w="683"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7</w:t>
            </w:r>
          </w:p>
        </w:tc>
        <w:tc>
          <w:tcPr>
            <w:tcW w:w="573"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204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合家福高教基地店</w:t>
            </w:r>
          </w:p>
        </w:tc>
        <w:tc>
          <w:tcPr>
            <w:tcW w:w="99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8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c>
          <w:tcPr>
            <w:tcW w:w="952" w:type="dxa"/>
            <w:tcBorders>
              <w:top w:val="nil"/>
              <w:left w:val="nil"/>
              <w:bottom w:val="single" w:color="auto" w:sz="4" w:space="0"/>
              <w:right w:val="nil"/>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0</w:t>
            </w:r>
          </w:p>
        </w:tc>
        <w:tc>
          <w:tcPr>
            <w:tcW w:w="1555" w:type="dxa"/>
            <w:tcBorders>
              <w:top w:val="nil"/>
              <w:left w:val="single" w:color="auto" w:sz="4" w:space="0"/>
              <w:bottom w:val="single" w:color="auto" w:sz="4" w:space="0"/>
              <w:right w:val="nil"/>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3</w:t>
            </w:r>
          </w:p>
        </w:tc>
        <w:tc>
          <w:tcPr>
            <w:tcW w:w="846" w:type="dxa"/>
            <w:tcBorders>
              <w:top w:val="nil"/>
              <w:left w:val="single" w:color="auto" w:sz="4" w:space="0"/>
              <w:bottom w:val="single" w:color="auto" w:sz="4" w:space="0"/>
              <w:right w:val="nil"/>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5</w:t>
            </w:r>
          </w:p>
        </w:tc>
        <w:tc>
          <w:tcPr>
            <w:tcW w:w="75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68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71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363" w:type="dxa"/>
            <w:vMerge w:val="continue"/>
            <w:tcBorders>
              <w:left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p>
        </w:tc>
        <w:tc>
          <w:tcPr>
            <w:tcW w:w="33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文忠路与前江路交口</w:t>
            </w:r>
          </w:p>
        </w:tc>
      </w:tr>
      <w:tr>
        <w:tblPrEx>
          <w:tblLayout w:type="fixed"/>
          <w:tblCellMar>
            <w:top w:w="0" w:type="dxa"/>
            <w:left w:w="108" w:type="dxa"/>
            <w:bottom w:w="0" w:type="dxa"/>
            <w:right w:w="108" w:type="dxa"/>
          </w:tblCellMar>
        </w:tblPrEx>
        <w:trPr>
          <w:trHeight w:val="340" w:hRule="atLeast"/>
        </w:trPr>
        <w:tc>
          <w:tcPr>
            <w:tcW w:w="683"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p>
        </w:tc>
        <w:tc>
          <w:tcPr>
            <w:tcW w:w="573"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204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合家福丹霞店</w:t>
            </w:r>
          </w:p>
        </w:tc>
        <w:tc>
          <w:tcPr>
            <w:tcW w:w="99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8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c>
          <w:tcPr>
            <w:tcW w:w="952" w:type="dxa"/>
            <w:tcBorders>
              <w:top w:val="nil"/>
              <w:left w:val="nil"/>
              <w:bottom w:val="single" w:color="auto" w:sz="4" w:space="0"/>
              <w:right w:val="nil"/>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0</w:t>
            </w:r>
          </w:p>
        </w:tc>
        <w:tc>
          <w:tcPr>
            <w:tcW w:w="1555" w:type="dxa"/>
            <w:tcBorders>
              <w:top w:val="nil"/>
              <w:left w:val="single" w:color="auto" w:sz="4" w:space="0"/>
              <w:bottom w:val="single" w:color="auto" w:sz="4" w:space="0"/>
              <w:right w:val="nil"/>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846" w:type="dxa"/>
            <w:tcBorders>
              <w:top w:val="nil"/>
              <w:left w:val="single" w:color="auto" w:sz="4" w:space="0"/>
              <w:bottom w:val="single" w:color="auto" w:sz="4" w:space="0"/>
              <w:right w:val="nil"/>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4</w:t>
            </w:r>
          </w:p>
        </w:tc>
        <w:tc>
          <w:tcPr>
            <w:tcW w:w="75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68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71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363" w:type="dxa"/>
            <w:vMerge w:val="continue"/>
            <w:tcBorders>
              <w:left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p>
        </w:tc>
        <w:tc>
          <w:tcPr>
            <w:tcW w:w="334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翡翠路与芙蓉路交口西南角</w:t>
            </w:r>
          </w:p>
        </w:tc>
      </w:tr>
      <w:tr>
        <w:tblPrEx>
          <w:tblLayout w:type="fixed"/>
          <w:tblCellMar>
            <w:top w:w="0" w:type="dxa"/>
            <w:left w:w="108" w:type="dxa"/>
            <w:bottom w:w="0" w:type="dxa"/>
            <w:right w:w="108" w:type="dxa"/>
          </w:tblCellMar>
        </w:tblPrEx>
        <w:trPr>
          <w:trHeight w:val="340" w:hRule="atLeast"/>
        </w:trPr>
        <w:tc>
          <w:tcPr>
            <w:tcW w:w="683"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p>
        </w:tc>
        <w:tc>
          <w:tcPr>
            <w:tcW w:w="573"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204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合家福临泉路店</w:t>
            </w:r>
          </w:p>
        </w:tc>
        <w:tc>
          <w:tcPr>
            <w:tcW w:w="99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8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c>
          <w:tcPr>
            <w:tcW w:w="952" w:type="dxa"/>
            <w:tcBorders>
              <w:top w:val="nil"/>
              <w:left w:val="nil"/>
              <w:bottom w:val="single" w:color="auto" w:sz="4" w:space="0"/>
              <w:right w:val="nil"/>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0</w:t>
            </w:r>
          </w:p>
        </w:tc>
        <w:tc>
          <w:tcPr>
            <w:tcW w:w="1555" w:type="dxa"/>
            <w:tcBorders>
              <w:top w:val="nil"/>
              <w:left w:val="single" w:color="auto" w:sz="4" w:space="0"/>
              <w:bottom w:val="single" w:color="auto" w:sz="4" w:space="0"/>
              <w:right w:val="nil"/>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4</w:t>
            </w:r>
          </w:p>
        </w:tc>
        <w:tc>
          <w:tcPr>
            <w:tcW w:w="846" w:type="dxa"/>
            <w:tcBorders>
              <w:top w:val="nil"/>
              <w:left w:val="single" w:color="auto" w:sz="4" w:space="0"/>
              <w:bottom w:val="single" w:color="auto" w:sz="4" w:space="0"/>
              <w:right w:val="nil"/>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6</w:t>
            </w:r>
          </w:p>
        </w:tc>
        <w:tc>
          <w:tcPr>
            <w:tcW w:w="75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68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71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363" w:type="dxa"/>
            <w:vMerge w:val="continue"/>
            <w:tcBorders>
              <w:left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p>
        </w:tc>
        <w:tc>
          <w:tcPr>
            <w:tcW w:w="334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临泉东路3368号</w:t>
            </w:r>
          </w:p>
        </w:tc>
      </w:tr>
      <w:tr>
        <w:tblPrEx>
          <w:tblLayout w:type="fixed"/>
          <w:tblCellMar>
            <w:top w:w="0" w:type="dxa"/>
            <w:left w:w="108" w:type="dxa"/>
            <w:bottom w:w="0" w:type="dxa"/>
            <w:right w:w="108" w:type="dxa"/>
          </w:tblCellMar>
        </w:tblPrEx>
        <w:trPr>
          <w:trHeight w:val="340" w:hRule="atLeast"/>
        </w:trPr>
        <w:tc>
          <w:tcPr>
            <w:tcW w:w="68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204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合家福高新店</w:t>
            </w:r>
          </w:p>
        </w:tc>
        <w:tc>
          <w:tcPr>
            <w:tcW w:w="99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891"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c>
          <w:tcPr>
            <w:tcW w:w="952" w:type="dxa"/>
            <w:tcBorders>
              <w:top w:val="single" w:color="auto" w:sz="4" w:space="0"/>
              <w:left w:val="nil"/>
              <w:bottom w:val="single" w:color="auto" w:sz="4" w:space="0"/>
              <w:right w:val="nil"/>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0</w:t>
            </w:r>
          </w:p>
        </w:tc>
        <w:tc>
          <w:tcPr>
            <w:tcW w:w="1555" w:type="dxa"/>
            <w:tcBorders>
              <w:top w:val="single" w:color="auto" w:sz="4" w:space="0"/>
              <w:left w:val="single" w:color="auto" w:sz="4" w:space="0"/>
              <w:bottom w:val="single" w:color="auto" w:sz="4" w:space="0"/>
              <w:right w:val="nil"/>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2</w:t>
            </w:r>
          </w:p>
        </w:tc>
        <w:tc>
          <w:tcPr>
            <w:tcW w:w="846" w:type="dxa"/>
            <w:tcBorders>
              <w:top w:val="single" w:color="auto" w:sz="4" w:space="0"/>
              <w:left w:val="single" w:color="auto" w:sz="4" w:space="0"/>
              <w:bottom w:val="single" w:color="auto" w:sz="4" w:space="0"/>
              <w:right w:val="nil"/>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5</w:t>
            </w:r>
          </w:p>
        </w:tc>
        <w:tc>
          <w:tcPr>
            <w:tcW w:w="75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68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71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363" w:type="dxa"/>
            <w:vMerge w:val="continue"/>
            <w:tcBorders>
              <w:left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p>
        </w:tc>
        <w:tc>
          <w:tcPr>
            <w:tcW w:w="334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长江西路与天通路交口</w:t>
            </w:r>
          </w:p>
        </w:tc>
      </w:tr>
      <w:tr>
        <w:tblPrEx>
          <w:tblLayout w:type="fixed"/>
          <w:tblCellMar>
            <w:top w:w="0" w:type="dxa"/>
            <w:left w:w="108" w:type="dxa"/>
            <w:bottom w:w="0" w:type="dxa"/>
            <w:right w:w="108" w:type="dxa"/>
          </w:tblCellMar>
        </w:tblPrEx>
        <w:trPr>
          <w:trHeight w:val="340" w:hRule="atLeast"/>
        </w:trPr>
        <w:tc>
          <w:tcPr>
            <w:tcW w:w="68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11</w:t>
            </w:r>
          </w:p>
        </w:tc>
        <w:tc>
          <w:tcPr>
            <w:tcW w:w="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204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合家福颍上路店</w:t>
            </w:r>
          </w:p>
        </w:tc>
        <w:tc>
          <w:tcPr>
            <w:tcW w:w="99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891"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c>
          <w:tcPr>
            <w:tcW w:w="952" w:type="dxa"/>
            <w:tcBorders>
              <w:top w:val="single" w:color="auto" w:sz="4" w:space="0"/>
              <w:left w:val="nil"/>
              <w:bottom w:val="single" w:color="auto" w:sz="4" w:space="0"/>
              <w:right w:val="nil"/>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0</w:t>
            </w:r>
          </w:p>
        </w:tc>
        <w:tc>
          <w:tcPr>
            <w:tcW w:w="1555" w:type="dxa"/>
            <w:tcBorders>
              <w:top w:val="single" w:color="auto" w:sz="4" w:space="0"/>
              <w:left w:val="single" w:color="auto" w:sz="4" w:space="0"/>
              <w:bottom w:val="single" w:color="auto" w:sz="4" w:space="0"/>
              <w:right w:val="nil"/>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2</w:t>
            </w:r>
          </w:p>
        </w:tc>
        <w:tc>
          <w:tcPr>
            <w:tcW w:w="846" w:type="dxa"/>
            <w:tcBorders>
              <w:top w:val="single" w:color="auto" w:sz="4" w:space="0"/>
              <w:left w:val="single" w:color="auto" w:sz="4" w:space="0"/>
              <w:bottom w:val="single" w:color="auto" w:sz="4" w:space="0"/>
              <w:right w:val="nil"/>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4</w:t>
            </w:r>
          </w:p>
        </w:tc>
        <w:tc>
          <w:tcPr>
            <w:tcW w:w="75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68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71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363" w:type="dxa"/>
            <w:vMerge w:val="continue"/>
            <w:tcBorders>
              <w:left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p>
        </w:tc>
        <w:tc>
          <w:tcPr>
            <w:tcW w:w="334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北一环与颍上路交口北100米</w:t>
            </w:r>
          </w:p>
        </w:tc>
      </w:tr>
      <w:tr>
        <w:tblPrEx>
          <w:tblLayout w:type="fixed"/>
          <w:tblCellMar>
            <w:top w:w="0" w:type="dxa"/>
            <w:left w:w="108" w:type="dxa"/>
            <w:bottom w:w="0" w:type="dxa"/>
            <w:right w:w="108" w:type="dxa"/>
          </w:tblCellMar>
        </w:tblPrEx>
        <w:trPr>
          <w:trHeight w:val="340" w:hRule="atLeast"/>
        </w:trPr>
        <w:tc>
          <w:tcPr>
            <w:tcW w:w="68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12</w:t>
            </w:r>
          </w:p>
        </w:tc>
        <w:tc>
          <w:tcPr>
            <w:tcW w:w="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204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合家福沿河路店</w:t>
            </w:r>
          </w:p>
        </w:tc>
        <w:tc>
          <w:tcPr>
            <w:tcW w:w="99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891"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c>
          <w:tcPr>
            <w:tcW w:w="952" w:type="dxa"/>
            <w:tcBorders>
              <w:top w:val="single" w:color="auto" w:sz="4" w:space="0"/>
              <w:left w:val="nil"/>
              <w:bottom w:val="single" w:color="auto" w:sz="4" w:space="0"/>
              <w:right w:val="nil"/>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0</w:t>
            </w:r>
          </w:p>
        </w:tc>
        <w:tc>
          <w:tcPr>
            <w:tcW w:w="1555" w:type="dxa"/>
            <w:tcBorders>
              <w:top w:val="single" w:color="auto" w:sz="4" w:space="0"/>
              <w:left w:val="single" w:color="auto" w:sz="4" w:space="0"/>
              <w:bottom w:val="single" w:color="auto" w:sz="4" w:space="0"/>
              <w:right w:val="nil"/>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4</w:t>
            </w:r>
          </w:p>
        </w:tc>
        <w:tc>
          <w:tcPr>
            <w:tcW w:w="846" w:type="dxa"/>
            <w:tcBorders>
              <w:top w:val="single" w:color="auto" w:sz="4" w:space="0"/>
              <w:left w:val="single" w:color="auto" w:sz="4" w:space="0"/>
              <w:bottom w:val="single" w:color="auto" w:sz="4" w:space="0"/>
              <w:right w:val="nil"/>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3</w:t>
            </w:r>
          </w:p>
        </w:tc>
        <w:tc>
          <w:tcPr>
            <w:tcW w:w="75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68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71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363" w:type="dxa"/>
            <w:vMerge w:val="continue"/>
            <w:tcBorders>
              <w:left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p>
        </w:tc>
        <w:tc>
          <w:tcPr>
            <w:tcW w:w="334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沿河路118号</w:t>
            </w:r>
          </w:p>
        </w:tc>
      </w:tr>
      <w:tr>
        <w:tblPrEx>
          <w:tblLayout w:type="fixed"/>
          <w:tblCellMar>
            <w:top w:w="0" w:type="dxa"/>
            <w:left w:w="108" w:type="dxa"/>
            <w:bottom w:w="0" w:type="dxa"/>
            <w:right w:w="108" w:type="dxa"/>
          </w:tblCellMar>
        </w:tblPrEx>
        <w:trPr>
          <w:trHeight w:val="340" w:hRule="atLeast"/>
        </w:trPr>
        <w:tc>
          <w:tcPr>
            <w:tcW w:w="68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13</w:t>
            </w:r>
          </w:p>
        </w:tc>
        <w:tc>
          <w:tcPr>
            <w:tcW w:w="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204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合家福物流配送中心店</w:t>
            </w:r>
          </w:p>
        </w:tc>
        <w:tc>
          <w:tcPr>
            <w:tcW w:w="99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891"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c>
          <w:tcPr>
            <w:tcW w:w="952" w:type="dxa"/>
            <w:tcBorders>
              <w:top w:val="single" w:color="auto" w:sz="4" w:space="0"/>
              <w:left w:val="nil"/>
              <w:bottom w:val="single" w:color="auto" w:sz="4" w:space="0"/>
              <w:right w:val="nil"/>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0</w:t>
            </w:r>
          </w:p>
        </w:tc>
        <w:tc>
          <w:tcPr>
            <w:tcW w:w="1555" w:type="dxa"/>
            <w:tcBorders>
              <w:top w:val="single" w:color="auto" w:sz="4" w:space="0"/>
              <w:left w:val="single" w:color="auto" w:sz="4" w:space="0"/>
              <w:bottom w:val="single" w:color="auto" w:sz="4" w:space="0"/>
              <w:right w:val="nil"/>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3</w:t>
            </w:r>
          </w:p>
        </w:tc>
        <w:tc>
          <w:tcPr>
            <w:tcW w:w="846" w:type="dxa"/>
            <w:tcBorders>
              <w:top w:val="single" w:color="auto" w:sz="4" w:space="0"/>
              <w:left w:val="single" w:color="auto" w:sz="4" w:space="0"/>
              <w:bottom w:val="single" w:color="auto" w:sz="4" w:space="0"/>
              <w:right w:val="nil"/>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5</w:t>
            </w:r>
          </w:p>
        </w:tc>
        <w:tc>
          <w:tcPr>
            <w:tcW w:w="75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68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71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363" w:type="dxa"/>
            <w:vMerge w:val="continue"/>
            <w:tcBorders>
              <w:left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p>
        </w:tc>
        <w:tc>
          <w:tcPr>
            <w:tcW w:w="334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当涂北路与新海大道交口</w:t>
            </w:r>
          </w:p>
        </w:tc>
      </w:tr>
      <w:tr>
        <w:tblPrEx>
          <w:tblLayout w:type="fixed"/>
          <w:tblCellMar>
            <w:top w:w="0" w:type="dxa"/>
            <w:left w:w="108" w:type="dxa"/>
            <w:bottom w:w="0" w:type="dxa"/>
            <w:right w:w="108" w:type="dxa"/>
          </w:tblCellMar>
        </w:tblPrEx>
        <w:trPr>
          <w:trHeight w:val="340" w:hRule="atLeast"/>
        </w:trPr>
        <w:tc>
          <w:tcPr>
            <w:tcW w:w="68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14</w:t>
            </w:r>
          </w:p>
        </w:tc>
        <w:tc>
          <w:tcPr>
            <w:tcW w:w="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204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合家福马鞍山路购物中心店</w:t>
            </w:r>
          </w:p>
        </w:tc>
        <w:tc>
          <w:tcPr>
            <w:tcW w:w="99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891"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c>
          <w:tcPr>
            <w:tcW w:w="952" w:type="dxa"/>
            <w:tcBorders>
              <w:top w:val="single" w:color="auto" w:sz="4" w:space="0"/>
              <w:left w:val="nil"/>
              <w:bottom w:val="single" w:color="auto" w:sz="4" w:space="0"/>
              <w:right w:val="nil"/>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0</w:t>
            </w:r>
          </w:p>
        </w:tc>
        <w:tc>
          <w:tcPr>
            <w:tcW w:w="1555" w:type="dxa"/>
            <w:tcBorders>
              <w:top w:val="single" w:color="auto" w:sz="4" w:space="0"/>
              <w:left w:val="single" w:color="auto" w:sz="4" w:space="0"/>
              <w:bottom w:val="single" w:color="auto" w:sz="4" w:space="0"/>
              <w:right w:val="nil"/>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3</w:t>
            </w:r>
          </w:p>
        </w:tc>
        <w:tc>
          <w:tcPr>
            <w:tcW w:w="846" w:type="dxa"/>
            <w:tcBorders>
              <w:top w:val="single" w:color="auto" w:sz="4" w:space="0"/>
              <w:left w:val="single" w:color="auto" w:sz="4" w:space="0"/>
              <w:bottom w:val="single" w:color="auto" w:sz="4" w:space="0"/>
              <w:right w:val="nil"/>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6</w:t>
            </w:r>
          </w:p>
        </w:tc>
        <w:tc>
          <w:tcPr>
            <w:tcW w:w="75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68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71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363" w:type="dxa"/>
            <w:vMerge w:val="continue"/>
            <w:tcBorders>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p>
        </w:tc>
        <w:tc>
          <w:tcPr>
            <w:tcW w:w="334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马鞍山路与太湖路交口</w:t>
            </w:r>
          </w:p>
        </w:tc>
      </w:tr>
      <w:tr>
        <w:tblPrEx>
          <w:tblLayout w:type="fixed"/>
          <w:tblCellMar>
            <w:top w:w="0" w:type="dxa"/>
            <w:left w:w="108" w:type="dxa"/>
            <w:bottom w:w="0" w:type="dxa"/>
            <w:right w:w="108" w:type="dxa"/>
          </w:tblCellMar>
        </w:tblPrEx>
        <w:trPr>
          <w:trHeight w:val="340" w:hRule="atLeast"/>
        </w:trPr>
        <w:tc>
          <w:tcPr>
            <w:tcW w:w="330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合计</w:t>
            </w:r>
          </w:p>
        </w:tc>
        <w:tc>
          <w:tcPr>
            <w:tcW w:w="99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30</w:t>
            </w:r>
          </w:p>
        </w:tc>
        <w:tc>
          <w:tcPr>
            <w:tcW w:w="89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95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55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42</w:t>
            </w:r>
          </w:p>
        </w:tc>
        <w:tc>
          <w:tcPr>
            <w:tcW w:w="84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95</w:t>
            </w:r>
          </w:p>
        </w:tc>
        <w:tc>
          <w:tcPr>
            <w:tcW w:w="75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14</w:t>
            </w:r>
          </w:p>
        </w:tc>
        <w:tc>
          <w:tcPr>
            <w:tcW w:w="68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14</w:t>
            </w:r>
          </w:p>
        </w:tc>
        <w:tc>
          <w:tcPr>
            <w:tcW w:w="71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18</w:t>
            </w:r>
          </w:p>
        </w:tc>
        <w:tc>
          <w:tcPr>
            <w:tcW w:w="136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p>
        </w:tc>
        <w:tc>
          <w:tcPr>
            <w:tcW w:w="334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免费赠送检测</w:t>
            </w:r>
          </w:p>
        </w:tc>
      </w:tr>
    </w:tbl>
    <w:p>
      <w:pPr>
        <w:spacing w:line="500" w:lineRule="atLeast"/>
        <w:jc w:val="left"/>
        <w:rPr>
          <w:rFonts w:ascii="宋体" w:hAnsi="宋体" w:cs="宋体"/>
          <w:sz w:val="24"/>
        </w:rPr>
      </w:pPr>
      <w:r>
        <w:rPr>
          <w:rFonts w:hint="eastAsia" w:ascii="宋体" w:hAnsi="宋体" w:cs="宋体"/>
          <w:b/>
          <w:color w:val="000000"/>
          <w:sz w:val="24"/>
          <w:szCs w:val="21"/>
        </w:rPr>
        <w:t>备注：以上表格中的试验项目数量为模拟数量，合同执行过程中招标人可根据实际情况对试验项目数量及门店进行调整，最终按照实际发生数量按实结算。</w:t>
      </w:r>
    </w:p>
    <w:sectPr>
      <w:pgSz w:w="16838" w:h="11906" w:orient="landscape"/>
      <w:pgMar w:top="1134" w:right="1134" w:bottom="1134" w:left="1134" w:header="851" w:footer="992" w:gutter="0"/>
      <w:pgNumType w:start="1"/>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p>
  <w:p>
    <w:pPr>
      <w:pStyle w:val="5"/>
      <w:framePr w:wrap="around" w:vAnchor="text" w:hAnchor="margin" w:xAlign="center" w:y="1"/>
      <w:rPr>
        <w:rStyle w:val="11"/>
      </w:rPr>
    </w:pPr>
  </w:p>
  <w:p>
    <w:pPr>
      <w:pStyle w:val="5"/>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9</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17</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180" w:firstLineChars="10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rFonts w:hint="eastAsia"/>
      </w:rPr>
      <w:t>安徽百大合家福连锁超市股份有限公司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A5C641"/>
    <w:multiLevelType w:val="singleLevel"/>
    <w:tmpl w:val="92A5C641"/>
    <w:lvl w:ilvl="0" w:tentative="0">
      <w:start w:val="5"/>
      <w:numFmt w:val="chineseCounting"/>
      <w:suff w:val="nothing"/>
      <w:lvlText w:val="%1、"/>
      <w:lvlJc w:val="left"/>
      <w:rPr>
        <w:rFonts w:hint="eastAsia"/>
      </w:rPr>
    </w:lvl>
  </w:abstractNum>
  <w:abstractNum w:abstractNumId="1">
    <w:nsid w:val="00000001"/>
    <w:multiLevelType w:val="singleLevel"/>
    <w:tmpl w:val="00000001"/>
    <w:lvl w:ilvl="0" w:tentative="0">
      <w:start w:val="2"/>
      <w:numFmt w:val="decimal"/>
      <w:suff w:val="nothing"/>
      <w:lvlText w:val="%1."/>
      <w:lvlJc w:val="left"/>
    </w:lvl>
  </w:abstractNum>
  <w:abstractNum w:abstractNumId="2">
    <w:nsid w:val="533BD429"/>
    <w:multiLevelType w:val="singleLevel"/>
    <w:tmpl w:val="533BD429"/>
    <w:lvl w:ilvl="0" w:tentative="0">
      <w:start w:val="3"/>
      <w:numFmt w:val="chineseCounting"/>
      <w:suff w:val="space"/>
      <w:lvlText w:val="第%1章"/>
      <w:lvlJc w:val="left"/>
    </w:lvl>
  </w:abstractNum>
  <w:abstractNum w:abstractNumId="3">
    <w:nsid w:val="535E21B7"/>
    <w:multiLevelType w:val="singleLevel"/>
    <w:tmpl w:val="535E21B7"/>
    <w:lvl w:ilvl="0" w:tentative="0">
      <w:start w:val="2"/>
      <w:numFmt w:val="chineseCounting"/>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21"/>
    <w:rsid w:val="0000593D"/>
    <w:rsid w:val="00030CE5"/>
    <w:rsid w:val="000517B8"/>
    <w:rsid w:val="000A065F"/>
    <w:rsid w:val="000B4F65"/>
    <w:rsid w:val="000D2E7F"/>
    <w:rsid w:val="000E54E0"/>
    <w:rsid w:val="000F4426"/>
    <w:rsid w:val="00113213"/>
    <w:rsid w:val="0011618D"/>
    <w:rsid w:val="001371CD"/>
    <w:rsid w:val="001B5421"/>
    <w:rsid w:val="001F254B"/>
    <w:rsid w:val="002105CF"/>
    <w:rsid w:val="002D4C05"/>
    <w:rsid w:val="00385E1E"/>
    <w:rsid w:val="00393163"/>
    <w:rsid w:val="003978B3"/>
    <w:rsid w:val="003A6266"/>
    <w:rsid w:val="003B0AFD"/>
    <w:rsid w:val="003B2390"/>
    <w:rsid w:val="003D04D0"/>
    <w:rsid w:val="003E3B4E"/>
    <w:rsid w:val="00451D11"/>
    <w:rsid w:val="004F54BB"/>
    <w:rsid w:val="005115FF"/>
    <w:rsid w:val="00520C11"/>
    <w:rsid w:val="00535DC8"/>
    <w:rsid w:val="005556EB"/>
    <w:rsid w:val="00571CBC"/>
    <w:rsid w:val="005F51B8"/>
    <w:rsid w:val="005F633A"/>
    <w:rsid w:val="00627911"/>
    <w:rsid w:val="00632A19"/>
    <w:rsid w:val="00677D19"/>
    <w:rsid w:val="00685695"/>
    <w:rsid w:val="006A20BF"/>
    <w:rsid w:val="006F4414"/>
    <w:rsid w:val="00725A08"/>
    <w:rsid w:val="00764BB6"/>
    <w:rsid w:val="00790C39"/>
    <w:rsid w:val="00793DE9"/>
    <w:rsid w:val="00794CD9"/>
    <w:rsid w:val="007E160F"/>
    <w:rsid w:val="00816EAD"/>
    <w:rsid w:val="008309E4"/>
    <w:rsid w:val="00846BD7"/>
    <w:rsid w:val="00865470"/>
    <w:rsid w:val="00893D25"/>
    <w:rsid w:val="008F38BB"/>
    <w:rsid w:val="0090649E"/>
    <w:rsid w:val="00932EEE"/>
    <w:rsid w:val="009475DF"/>
    <w:rsid w:val="0096071A"/>
    <w:rsid w:val="00985943"/>
    <w:rsid w:val="00997759"/>
    <w:rsid w:val="009B68EE"/>
    <w:rsid w:val="00A05C4D"/>
    <w:rsid w:val="00A93765"/>
    <w:rsid w:val="00AB634B"/>
    <w:rsid w:val="00AC4B55"/>
    <w:rsid w:val="00AE7EA7"/>
    <w:rsid w:val="00B347AE"/>
    <w:rsid w:val="00B372B2"/>
    <w:rsid w:val="00B50AD5"/>
    <w:rsid w:val="00B61E97"/>
    <w:rsid w:val="00B64CDA"/>
    <w:rsid w:val="00B84FF5"/>
    <w:rsid w:val="00B91D85"/>
    <w:rsid w:val="00B94490"/>
    <w:rsid w:val="00BB5CCC"/>
    <w:rsid w:val="00BC755A"/>
    <w:rsid w:val="00C0657D"/>
    <w:rsid w:val="00C119A6"/>
    <w:rsid w:val="00C45030"/>
    <w:rsid w:val="00C56E5C"/>
    <w:rsid w:val="00C75110"/>
    <w:rsid w:val="00C90138"/>
    <w:rsid w:val="00CC17C9"/>
    <w:rsid w:val="00CC1FB1"/>
    <w:rsid w:val="00CF19DD"/>
    <w:rsid w:val="00D31AD0"/>
    <w:rsid w:val="00D33E7E"/>
    <w:rsid w:val="00D53732"/>
    <w:rsid w:val="00D578E4"/>
    <w:rsid w:val="00D60446"/>
    <w:rsid w:val="00D73167"/>
    <w:rsid w:val="00D763E4"/>
    <w:rsid w:val="00DC35FB"/>
    <w:rsid w:val="00DE3415"/>
    <w:rsid w:val="00DE7484"/>
    <w:rsid w:val="00DF0902"/>
    <w:rsid w:val="00E0608F"/>
    <w:rsid w:val="00E6629A"/>
    <w:rsid w:val="00E920E7"/>
    <w:rsid w:val="00ED0221"/>
    <w:rsid w:val="00EF44A7"/>
    <w:rsid w:val="00F30C3B"/>
    <w:rsid w:val="00FD1303"/>
    <w:rsid w:val="00FD7580"/>
    <w:rsid w:val="00FE128E"/>
    <w:rsid w:val="01AD4B48"/>
    <w:rsid w:val="02FB0D83"/>
    <w:rsid w:val="037326D4"/>
    <w:rsid w:val="04B26425"/>
    <w:rsid w:val="059258D3"/>
    <w:rsid w:val="05A7661D"/>
    <w:rsid w:val="08D85C24"/>
    <w:rsid w:val="0B571C66"/>
    <w:rsid w:val="0BB537B2"/>
    <w:rsid w:val="0DB63282"/>
    <w:rsid w:val="0E344AB6"/>
    <w:rsid w:val="0E747BE7"/>
    <w:rsid w:val="0ED726AC"/>
    <w:rsid w:val="0F5E5B57"/>
    <w:rsid w:val="0FC25E9C"/>
    <w:rsid w:val="12AF2708"/>
    <w:rsid w:val="138C57C2"/>
    <w:rsid w:val="14F933D1"/>
    <w:rsid w:val="154E63C6"/>
    <w:rsid w:val="183841EA"/>
    <w:rsid w:val="18824B2E"/>
    <w:rsid w:val="18B27F67"/>
    <w:rsid w:val="1A0B3EAB"/>
    <w:rsid w:val="1BF276FC"/>
    <w:rsid w:val="1D100336"/>
    <w:rsid w:val="1DF13261"/>
    <w:rsid w:val="1DFE7320"/>
    <w:rsid w:val="1EBB6238"/>
    <w:rsid w:val="1F95492A"/>
    <w:rsid w:val="21C27FD5"/>
    <w:rsid w:val="21E94114"/>
    <w:rsid w:val="22256C09"/>
    <w:rsid w:val="23356E89"/>
    <w:rsid w:val="23791581"/>
    <w:rsid w:val="23B53014"/>
    <w:rsid w:val="244A13D3"/>
    <w:rsid w:val="24AA1002"/>
    <w:rsid w:val="24FE2904"/>
    <w:rsid w:val="263B78FD"/>
    <w:rsid w:val="26F326B0"/>
    <w:rsid w:val="274F13EB"/>
    <w:rsid w:val="27DC202B"/>
    <w:rsid w:val="283D2021"/>
    <w:rsid w:val="292117B4"/>
    <w:rsid w:val="2ABB2806"/>
    <w:rsid w:val="2B8208C9"/>
    <w:rsid w:val="2BDF4E96"/>
    <w:rsid w:val="2C2D5571"/>
    <w:rsid w:val="2C883E65"/>
    <w:rsid w:val="2E4E1BD3"/>
    <w:rsid w:val="2F882F3C"/>
    <w:rsid w:val="2F937CE7"/>
    <w:rsid w:val="2FDD62F1"/>
    <w:rsid w:val="31353790"/>
    <w:rsid w:val="344C2B0A"/>
    <w:rsid w:val="360F0B21"/>
    <w:rsid w:val="36161DBF"/>
    <w:rsid w:val="36E63086"/>
    <w:rsid w:val="381B7C9C"/>
    <w:rsid w:val="383C1EF3"/>
    <w:rsid w:val="39234482"/>
    <w:rsid w:val="3944523C"/>
    <w:rsid w:val="39AF24A2"/>
    <w:rsid w:val="3AE4698A"/>
    <w:rsid w:val="3B304D5D"/>
    <w:rsid w:val="3DC76AA8"/>
    <w:rsid w:val="3E883CA5"/>
    <w:rsid w:val="3E8F318F"/>
    <w:rsid w:val="3F485F2E"/>
    <w:rsid w:val="40C31E9F"/>
    <w:rsid w:val="413D40D4"/>
    <w:rsid w:val="41F251CC"/>
    <w:rsid w:val="4233791C"/>
    <w:rsid w:val="43490F26"/>
    <w:rsid w:val="436B05FD"/>
    <w:rsid w:val="437773F2"/>
    <w:rsid w:val="44A13EE6"/>
    <w:rsid w:val="44FD249A"/>
    <w:rsid w:val="454C16BC"/>
    <w:rsid w:val="466823F5"/>
    <w:rsid w:val="46F903DC"/>
    <w:rsid w:val="47401394"/>
    <w:rsid w:val="4A117E45"/>
    <w:rsid w:val="4B173594"/>
    <w:rsid w:val="4BC97230"/>
    <w:rsid w:val="4BD444C5"/>
    <w:rsid w:val="4C7B635D"/>
    <w:rsid w:val="4CB65A32"/>
    <w:rsid w:val="4E8A5607"/>
    <w:rsid w:val="4EB37096"/>
    <w:rsid w:val="4F407A75"/>
    <w:rsid w:val="4F6A4425"/>
    <w:rsid w:val="503E3B5C"/>
    <w:rsid w:val="50E057B5"/>
    <w:rsid w:val="51425303"/>
    <w:rsid w:val="5170247E"/>
    <w:rsid w:val="53944E2B"/>
    <w:rsid w:val="555D4E04"/>
    <w:rsid w:val="56D138D4"/>
    <w:rsid w:val="56FC02E1"/>
    <w:rsid w:val="57D217B0"/>
    <w:rsid w:val="58E25085"/>
    <w:rsid w:val="58F65F6D"/>
    <w:rsid w:val="58FD0375"/>
    <w:rsid w:val="5B732646"/>
    <w:rsid w:val="5B8E4774"/>
    <w:rsid w:val="5BD43612"/>
    <w:rsid w:val="5C512382"/>
    <w:rsid w:val="5CC23D0A"/>
    <w:rsid w:val="5D245B0C"/>
    <w:rsid w:val="5D347BB7"/>
    <w:rsid w:val="5E2956EE"/>
    <w:rsid w:val="5F8D7CDA"/>
    <w:rsid w:val="60873E4A"/>
    <w:rsid w:val="617F233A"/>
    <w:rsid w:val="61BC3806"/>
    <w:rsid w:val="625A686D"/>
    <w:rsid w:val="6278373E"/>
    <w:rsid w:val="62B6685F"/>
    <w:rsid w:val="6340644A"/>
    <w:rsid w:val="636E4215"/>
    <w:rsid w:val="63704F30"/>
    <w:rsid w:val="645B0EB7"/>
    <w:rsid w:val="645E1500"/>
    <w:rsid w:val="64D337B2"/>
    <w:rsid w:val="64E05B7A"/>
    <w:rsid w:val="66211528"/>
    <w:rsid w:val="66420157"/>
    <w:rsid w:val="66862BB8"/>
    <w:rsid w:val="66D2026E"/>
    <w:rsid w:val="66F4579E"/>
    <w:rsid w:val="6780485D"/>
    <w:rsid w:val="682A59B8"/>
    <w:rsid w:val="68DF2326"/>
    <w:rsid w:val="69ED3D54"/>
    <w:rsid w:val="6A593C59"/>
    <w:rsid w:val="6AF41EF7"/>
    <w:rsid w:val="6CDC35C3"/>
    <w:rsid w:val="6CE020CF"/>
    <w:rsid w:val="6DFC2E9C"/>
    <w:rsid w:val="6F6440BD"/>
    <w:rsid w:val="702E03A6"/>
    <w:rsid w:val="70856E79"/>
    <w:rsid w:val="70EB34AD"/>
    <w:rsid w:val="718366CE"/>
    <w:rsid w:val="71D23BE0"/>
    <w:rsid w:val="72A545DF"/>
    <w:rsid w:val="759A3C50"/>
    <w:rsid w:val="79F23739"/>
    <w:rsid w:val="7A1D111B"/>
    <w:rsid w:val="7AFE70A7"/>
    <w:rsid w:val="7B0835D8"/>
    <w:rsid w:val="7B5275B4"/>
    <w:rsid w:val="7BAC1F01"/>
    <w:rsid w:val="7DC66156"/>
    <w:rsid w:val="7E2E3B3A"/>
    <w:rsid w:val="7E3E765E"/>
    <w:rsid w:val="7ED536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20"/>
    <w:semiHidden/>
    <w:unhideWhenUsed/>
    <w:qFormat/>
    <w:uiPriority w:val="0"/>
    <w:pPr>
      <w:jc w:val="left"/>
    </w:pPr>
  </w:style>
  <w:style w:type="paragraph" w:styleId="3">
    <w:name w:val="Date"/>
    <w:basedOn w:val="1"/>
    <w:next w:val="1"/>
    <w:link w:val="18"/>
    <w:semiHidden/>
    <w:unhideWhenUsed/>
    <w:qFormat/>
    <w:uiPriority w:val="0"/>
    <w:pPr>
      <w:ind w:left="100" w:leftChars="2500"/>
    </w:pPr>
  </w:style>
  <w:style w:type="paragraph" w:styleId="4">
    <w:name w:val="Balloon Text"/>
    <w:basedOn w:val="1"/>
    <w:link w:val="19"/>
    <w:semiHidden/>
    <w:unhideWhenUsed/>
    <w:qFormat/>
    <w:uiPriority w:val="0"/>
    <w:rPr>
      <w:sz w:val="18"/>
      <w:szCs w:val="18"/>
    </w:rPr>
  </w:style>
  <w:style w:type="paragraph" w:styleId="5">
    <w:name w:val="footer"/>
    <w:basedOn w:val="1"/>
    <w:link w:val="16"/>
    <w:unhideWhenUsed/>
    <w:qFormat/>
    <w:uiPriority w:val="0"/>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7"/>
    <w:qFormat/>
    <w:uiPriority w:val="0"/>
    <w:pPr>
      <w:spacing w:before="240" w:after="60"/>
      <w:jc w:val="center"/>
      <w:outlineLvl w:val="0"/>
    </w:pPr>
    <w:rPr>
      <w:rFonts w:ascii="Cambria" w:hAnsi="Cambria"/>
      <w:b/>
      <w:bCs/>
      <w:sz w:val="32"/>
      <w:szCs w:val="32"/>
    </w:rPr>
  </w:style>
  <w:style w:type="paragraph" w:styleId="8">
    <w:name w:val="annotation subject"/>
    <w:basedOn w:val="2"/>
    <w:next w:val="2"/>
    <w:link w:val="21"/>
    <w:semiHidden/>
    <w:unhideWhenUsed/>
    <w:qFormat/>
    <w:uiPriority w:val="0"/>
    <w:rPr>
      <w:b/>
      <w:bCs/>
    </w:rPr>
  </w:style>
  <w:style w:type="character" w:styleId="11">
    <w:name w:val="page number"/>
    <w:basedOn w:val="10"/>
    <w:qFormat/>
    <w:uiPriority w:val="0"/>
  </w:style>
  <w:style w:type="character" w:styleId="12">
    <w:name w:val="annotation reference"/>
    <w:basedOn w:val="10"/>
    <w:semiHidden/>
    <w:unhideWhenUsed/>
    <w:qFormat/>
    <w:uiPriority w:val="0"/>
    <w:rPr>
      <w:sz w:val="21"/>
      <w:szCs w:val="21"/>
    </w:rPr>
  </w:style>
  <w:style w:type="paragraph" w:customStyle="1" w:styleId="13">
    <w:name w:val="Char Char Char Char Char Char Char1 Char"/>
    <w:basedOn w:val="1"/>
    <w:qFormat/>
    <w:uiPriority w:val="0"/>
    <w:rPr>
      <w:rFonts w:ascii="Tahoma" w:hAnsi="Tahoma"/>
      <w:sz w:val="24"/>
      <w:szCs w:val="20"/>
    </w:rPr>
  </w:style>
  <w:style w:type="paragraph" w:customStyle="1" w:styleId="14">
    <w:name w:val="p0"/>
    <w:basedOn w:val="1"/>
    <w:qFormat/>
    <w:uiPriority w:val="0"/>
    <w:pPr>
      <w:widowControl/>
    </w:pPr>
    <w:rPr>
      <w:kern w:val="0"/>
      <w:szCs w:val="21"/>
    </w:rPr>
  </w:style>
  <w:style w:type="character" w:customStyle="1" w:styleId="15">
    <w:name w:val="页眉 Char"/>
    <w:basedOn w:val="10"/>
    <w:link w:val="6"/>
    <w:semiHidden/>
    <w:qFormat/>
    <w:uiPriority w:val="99"/>
    <w:rPr>
      <w:sz w:val="18"/>
      <w:szCs w:val="18"/>
    </w:rPr>
  </w:style>
  <w:style w:type="character" w:customStyle="1" w:styleId="16">
    <w:name w:val="页脚 Char"/>
    <w:basedOn w:val="10"/>
    <w:link w:val="5"/>
    <w:semiHidden/>
    <w:qFormat/>
    <w:uiPriority w:val="99"/>
    <w:rPr>
      <w:sz w:val="18"/>
      <w:szCs w:val="18"/>
    </w:rPr>
  </w:style>
  <w:style w:type="character" w:customStyle="1" w:styleId="17">
    <w:name w:val="标题 Char"/>
    <w:basedOn w:val="10"/>
    <w:link w:val="7"/>
    <w:qFormat/>
    <w:uiPriority w:val="0"/>
    <w:rPr>
      <w:rFonts w:ascii="Cambria" w:hAnsi="Cambria"/>
      <w:b/>
      <w:bCs/>
      <w:kern w:val="2"/>
      <w:sz w:val="32"/>
      <w:szCs w:val="32"/>
    </w:rPr>
  </w:style>
  <w:style w:type="character" w:customStyle="1" w:styleId="18">
    <w:name w:val="日期 Char"/>
    <w:basedOn w:val="10"/>
    <w:link w:val="3"/>
    <w:semiHidden/>
    <w:qFormat/>
    <w:uiPriority w:val="0"/>
    <w:rPr>
      <w:rFonts w:ascii="Times New Roman" w:hAnsi="Times New Roman" w:cs="Times New Roman"/>
      <w:kern w:val="2"/>
      <w:sz w:val="21"/>
      <w:szCs w:val="24"/>
    </w:rPr>
  </w:style>
  <w:style w:type="character" w:customStyle="1" w:styleId="19">
    <w:name w:val="批注框文本 Char"/>
    <w:basedOn w:val="10"/>
    <w:link w:val="4"/>
    <w:semiHidden/>
    <w:qFormat/>
    <w:uiPriority w:val="0"/>
    <w:rPr>
      <w:kern w:val="2"/>
      <w:sz w:val="18"/>
      <w:szCs w:val="18"/>
    </w:rPr>
  </w:style>
  <w:style w:type="character" w:customStyle="1" w:styleId="20">
    <w:name w:val="批注文字 Char"/>
    <w:basedOn w:val="10"/>
    <w:link w:val="2"/>
    <w:semiHidden/>
    <w:qFormat/>
    <w:uiPriority w:val="0"/>
    <w:rPr>
      <w:kern w:val="2"/>
      <w:sz w:val="21"/>
      <w:szCs w:val="24"/>
    </w:rPr>
  </w:style>
  <w:style w:type="character" w:customStyle="1" w:styleId="21">
    <w:name w:val="批注主题 Char"/>
    <w:basedOn w:val="20"/>
    <w:link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1315</Words>
  <Characters>7496</Characters>
  <Lines>62</Lines>
  <Paragraphs>17</Paragraphs>
  <TotalTime>17</TotalTime>
  <ScaleCrop>false</ScaleCrop>
  <LinksUpToDate>false</LinksUpToDate>
  <CharactersWithSpaces>8794</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2016-04-22T08:58:00Z</dcterms:created>
  <dc:creator>M.J</dc:creator>
  <cp:lastModifiedBy>着迷</cp:lastModifiedBy>
  <cp:lastPrinted>2015-03-13T01:07:00Z</cp:lastPrinted>
  <dcterms:modified xsi:type="dcterms:W3CDTF">2019-08-19T06:56:43Z</dcterms:modified>
  <dc:title>合肥周谷堆大兴农产品国际物流园有限责任公司</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